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62" w:rsidRDefault="00BE0362" w:rsidP="00943F00"/>
    <w:p w:rsidR="00BE0362" w:rsidRDefault="00BE0362" w:rsidP="00BE0362">
      <w:pPr>
        <w:jc w:val="center"/>
      </w:pPr>
    </w:p>
    <w:p w:rsidR="00BE0362" w:rsidRDefault="00BE0362" w:rsidP="00BE0362">
      <w:pPr>
        <w:jc w:val="center"/>
      </w:pPr>
    </w:p>
    <w:p w:rsidR="00BE0362" w:rsidRPr="00483689" w:rsidRDefault="00BE0362" w:rsidP="002303E5">
      <w:pPr>
        <w:pStyle w:val="Title"/>
      </w:pPr>
    </w:p>
    <w:p w:rsidR="002303E5" w:rsidRPr="002303E5" w:rsidRDefault="00626740" w:rsidP="002303E5">
      <w:pPr>
        <w:pStyle w:val="Title"/>
      </w:pPr>
      <w:bookmarkStart w:id="0" w:name="_Hlk500360339"/>
      <w:bookmarkStart w:id="1" w:name="_GoBack"/>
      <w:bookmarkEnd w:id="1"/>
      <w:r w:rsidRPr="002303E5">
        <w:t>Characteristics of Silver Iodide Flares used for Weather Modification Projects</w:t>
      </w:r>
    </w:p>
    <w:p w:rsidR="00FB5389" w:rsidRPr="005D08A6" w:rsidRDefault="00FB5389" w:rsidP="00483689">
      <w:pPr>
        <w:jc w:val="center"/>
        <w:rPr>
          <w:rFonts w:cs="Times New Roman"/>
          <w:sz w:val="28"/>
          <w:szCs w:val="24"/>
        </w:rPr>
      </w:pPr>
      <w:r w:rsidRPr="005D08A6">
        <w:rPr>
          <w:rFonts w:cs="Times New Roman"/>
          <w:sz w:val="28"/>
          <w:szCs w:val="24"/>
        </w:rPr>
        <w:t>By Courtney Steimann</w:t>
      </w:r>
    </w:p>
    <w:p w:rsidR="002303E5" w:rsidRDefault="002303E5" w:rsidP="00483689">
      <w:pPr>
        <w:jc w:val="center"/>
        <w:rPr>
          <w:rFonts w:ascii="Cambria" w:hAnsi="Cambria"/>
          <w:sz w:val="28"/>
          <w:szCs w:val="24"/>
        </w:rPr>
      </w:pPr>
    </w:p>
    <w:p w:rsidR="002303E5" w:rsidRDefault="002303E5" w:rsidP="00483689">
      <w:pPr>
        <w:jc w:val="center"/>
        <w:rPr>
          <w:rFonts w:ascii="Cambria" w:hAnsi="Cambria"/>
          <w:sz w:val="28"/>
          <w:szCs w:val="24"/>
        </w:rPr>
      </w:pPr>
    </w:p>
    <w:p w:rsidR="002303E5" w:rsidRPr="00483689" w:rsidRDefault="002303E5" w:rsidP="00483689">
      <w:pPr>
        <w:jc w:val="center"/>
        <w:rPr>
          <w:rFonts w:ascii="Cambria" w:hAnsi="Cambria"/>
          <w:sz w:val="28"/>
          <w:szCs w:val="24"/>
        </w:rPr>
      </w:pPr>
    </w:p>
    <w:p w:rsidR="00626740" w:rsidRPr="006E148F" w:rsidRDefault="00626740" w:rsidP="00483689">
      <w:pPr>
        <w:jc w:val="center"/>
        <w:rPr>
          <w:rFonts w:cs="Times New Roman"/>
          <w:sz w:val="28"/>
          <w:szCs w:val="24"/>
        </w:rPr>
      </w:pPr>
      <w:r w:rsidRPr="006E148F">
        <w:rPr>
          <w:rFonts w:cs="Times New Roman"/>
          <w:sz w:val="28"/>
          <w:szCs w:val="24"/>
        </w:rPr>
        <w:t>Affiliation: Senior Project, Department of Atmospheric Science, University of North Dakota</w:t>
      </w:r>
    </w:p>
    <w:p w:rsidR="00FB5389" w:rsidRPr="006E148F" w:rsidRDefault="00FB5389" w:rsidP="00483689">
      <w:pPr>
        <w:jc w:val="center"/>
        <w:rPr>
          <w:rFonts w:eastAsia="Times New Roman" w:cs="Times New Roman"/>
          <w:color w:val="000000"/>
          <w:sz w:val="28"/>
          <w:szCs w:val="24"/>
        </w:rPr>
      </w:pPr>
      <w:r w:rsidRPr="006E148F">
        <w:rPr>
          <w:rFonts w:eastAsia="Times New Roman" w:cs="Times New Roman"/>
          <w:color w:val="000000"/>
          <w:sz w:val="28"/>
          <w:szCs w:val="24"/>
        </w:rPr>
        <w:t>Primary Project Advisor: Dr. David Delene</w:t>
      </w:r>
    </w:p>
    <w:p w:rsidR="002303E5" w:rsidRPr="006E148F" w:rsidRDefault="0036026E" w:rsidP="002303E5">
      <w:pPr>
        <w:jc w:val="center"/>
        <w:rPr>
          <w:rFonts w:eastAsia="Times New Roman" w:cs="Times New Roman"/>
          <w:color w:val="000000"/>
          <w:sz w:val="28"/>
          <w:szCs w:val="24"/>
        </w:rPr>
      </w:pPr>
      <w:r w:rsidRPr="006E148F">
        <w:rPr>
          <w:rFonts w:eastAsia="Times New Roman" w:cs="Times New Roman"/>
          <w:color w:val="000000"/>
          <w:sz w:val="28"/>
          <w:szCs w:val="24"/>
        </w:rPr>
        <w:t>Secondary</w:t>
      </w:r>
      <w:r w:rsidR="00FB5389" w:rsidRPr="006E148F">
        <w:rPr>
          <w:rFonts w:eastAsia="Times New Roman" w:cs="Times New Roman"/>
          <w:color w:val="000000"/>
          <w:sz w:val="28"/>
          <w:szCs w:val="24"/>
        </w:rPr>
        <w:t xml:space="preserve"> Project Advisor: Michael Poellot</w:t>
      </w:r>
      <w:bookmarkEnd w:id="0"/>
    </w:p>
    <w:p w:rsidR="00B5352D" w:rsidRDefault="002303E5" w:rsidP="00B5352D">
      <w:pPr>
        <w:spacing w:after="200" w:line="276" w:lineRule="auto"/>
        <w:ind w:firstLine="0"/>
        <w:jc w:val="left"/>
        <w:rPr>
          <w:rFonts w:ascii="Cambria" w:eastAsia="Times New Roman" w:hAnsi="Cambria" w:cs="Times New Roman"/>
          <w:color w:val="000000"/>
          <w:sz w:val="28"/>
          <w:szCs w:val="24"/>
        </w:rPr>
      </w:pPr>
      <w:r>
        <w:rPr>
          <w:rFonts w:ascii="Cambria" w:eastAsia="Times New Roman" w:hAnsi="Cambria" w:cs="Times New Roman"/>
          <w:color w:val="000000"/>
          <w:sz w:val="28"/>
          <w:szCs w:val="24"/>
        </w:rPr>
        <w:br w:type="page"/>
      </w:r>
    </w:p>
    <w:p w:rsidR="00B5352D" w:rsidRDefault="00B5352D" w:rsidP="00B5352D">
      <w:pPr>
        <w:jc w:val="center"/>
        <w:rPr>
          <w:b/>
        </w:rPr>
      </w:pPr>
      <w:r w:rsidRPr="00B5352D">
        <w:rPr>
          <w:b/>
        </w:rPr>
        <w:lastRenderedPageBreak/>
        <w:t>Abstract</w:t>
      </w:r>
    </w:p>
    <w:p w:rsidR="008E0C1B" w:rsidRPr="00745F59" w:rsidRDefault="00E84DBF" w:rsidP="00745F59">
      <w:pPr>
        <w:rPr>
          <w:rFonts w:cs="Times New Roman"/>
          <w:szCs w:val="24"/>
        </w:rPr>
      </w:pPr>
      <w:r w:rsidRPr="00745F59">
        <w:rPr>
          <w:rFonts w:cs="Times New Roman"/>
          <w:szCs w:val="24"/>
        </w:rPr>
        <w:t xml:space="preserve">A </w:t>
      </w:r>
      <w:r w:rsidR="007B7949" w:rsidRPr="00745F59">
        <w:rPr>
          <w:rFonts w:cs="Times New Roman"/>
          <w:szCs w:val="24"/>
        </w:rPr>
        <w:t>flare burnin</w:t>
      </w:r>
      <w:r w:rsidR="00C66EC4" w:rsidRPr="00745F59">
        <w:rPr>
          <w:rFonts w:cs="Times New Roman"/>
          <w:szCs w:val="24"/>
        </w:rPr>
        <w:t>g</w:t>
      </w:r>
      <w:r w:rsidR="007B7949" w:rsidRPr="00745F59">
        <w:rPr>
          <w:rFonts w:cs="Times New Roman"/>
          <w:szCs w:val="24"/>
        </w:rPr>
        <w:t xml:space="preserve"> and dilution system is necessary for testing the activation temperature of Silver Iodide (AgI) flares using a cloud chamber</w:t>
      </w:r>
      <w:r w:rsidRPr="00745F59">
        <w:rPr>
          <w:rFonts w:cs="Times New Roman"/>
          <w:szCs w:val="24"/>
        </w:rPr>
        <w:t>. Recent development of flare</w:t>
      </w:r>
      <w:r w:rsidR="007B7949" w:rsidRPr="00745F59">
        <w:rPr>
          <w:rFonts w:cs="Times New Roman"/>
          <w:szCs w:val="24"/>
        </w:rPr>
        <w:t xml:space="preserve"> </w:t>
      </w:r>
      <w:r w:rsidR="00662D84" w:rsidRPr="00745F59">
        <w:rPr>
          <w:rFonts w:cs="Times New Roman"/>
          <w:szCs w:val="24"/>
        </w:rPr>
        <w:t>burning</w:t>
      </w:r>
      <w:r w:rsidR="007B7949" w:rsidRPr="00745F59">
        <w:rPr>
          <w:rFonts w:cs="Times New Roman"/>
          <w:szCs w:val="24"/>
        </w:rPr>
        <w:t xml:space="preserve"> and dilution system</w:t>
      </w:r>
      <w:r w:rsidRPr="00745F59">
        <w:rPr>
          <w:rFonts w:cs="Times New Roman"/>
          <w:szCs w:val="24"/>
        </w:rPr>
        <w:t xml:space="preserve"> includes the addition of </w:t>
      </w:r>
      <w:r w:rsidR="00E64315" w:rsidRPr="00745F59">
        <w:rPr>
          <w:rFonts w:cs="Times New Roman"/>
          <w:szCs w:val="24"/>
        </w:rPr>
        <w:t>two filter boxes</w:t>
      </w:r>
      <w:r w:rsidR="00043448" w:rsidRPr="00745F59">
        <w:rPr>
          <w:rFonts w:cs="Times New Roman"/>
          <w:szCs w:val="24"/>
        </w:rPr>
        <w:t xml:space="preserve"> </w:t>
      </w:r>
      <w:r w:rsidR="008E0C1B" w:rsidRPr="00745F59">
        <w:rPr>
          <w:rFonts w:cs="Times New Roman"/>
          <w:szCs w:val="24"/>
        </w:rPr>
        <w:t>which</w:t>
      </w:r>
      <w:r w:rsidR="00E64315" w:rsidRPr="00745F59">
        <w:rPr>
          <w:rFonts w:cs="Times New Roman"/>
          <w:szCs w:val="24"/>
        </w:rPr>
        <w:t xml:space="preserve"> enhance</w:t>
      </w:r>
      <w:r w:rsidR="00CF3C03" w:rsidRPr="00745F59">
        <w:rPr>
          <w:rFonts w:cs="Times New Roman"/>
          <w:szCs w:val="24"/>
        </w:rPr>
        <w:t>s</w:t>
      </w:r>
      <w:r w:rsidR="00E64315" w:rsidRPr="00745F59">
        <w:rPr>
          <w:rFonts w:cs="Times New Roman"/>
          <w:szCs w:val="24"/>
        </w:rPr>
        <w:t xml:space="preserve"> the </w:t>
      </w:r>
      <w:r w:rsidR="007B7949" w:rsidRPr="00745F59">
        <w:rPr>
          <w:rFonts w:cs="Times New Roman"/>
          <w:szCs w:val="24"/>
        </w:rPr>
        <w:t>measurement</w:t>
      </w:r>
      <w:r w:rsidR="00E64315" w:rsidRPr="00745F59">
        <w:rPr>
          <w:rFonts w:cs="Times New Roman"/>
          <w:szCs w:val="24"/>
        </w:rPr>
        <w:t xml:space="preserve"> of size distribution</w:t>
      </w:r>
      <w:r w:rsidR="007B7949" w:rsidRPr="00745F59">
        <w:rPr>
          <w:rFonts w:cs="Times New Roman"/>
          <w:szCs w:val="24"/>
        </w:rPr>
        <w:t xml:space="preserve"> of particles produced</w:t>
      </w:r>
      <w:r w:rsidR="00E64315" w:rsidRPr="00745F59">
        <w:rPr>
          <w:rFonts w:cs="Times New Roman"/>
          <w:szCs w:val="24"/>
        </w:rPr>
        <w:t xml:space="preserve"> </w:t>
      </w:r>
      <w:r w:rsidR="007B7949" w:rsidRPr="00745F59">
        <w:rPr>
          <w:rFonts w:cs="Times New Roman"/>
          <w:szCs w:val="24"/>
        </w:rPr>
        <w:t>from</w:t>
      </w:r>
      <w:r w:rsidR="0067761B" w:rsidRPr="00745F59">
        <w:rPr>
          <w:rFonts w:cs="Times New Roman"/>
          <w:szCs w:val="24"/>
        </w:rPr>
        <w:t xml:space="preserve"> </w:t>
      </w:r>
      <w:r w:rsidR="008E0C1B" w:rsidRPr="00745F59">
        <w:rPr>
          <w:rFonts w:cs="Times New Roman"/>
          <w:szCs w:val="24"/>
        </w:rPr>
        <w:t>burning</w:t>
      </w:r>
      <w:r w:rsidR="0067761B" w:rsidRPr="00745F59">
        <w:rPr>
          <w:rFonts w:cs="Times New Roman"/>
          <w:szCs w:val="24"/>
        </w:rPr>
        <w:t xml:space="preserve"> </w:t>
      </w:r>
      <w:r w:rsidR="00E64315" w:rsidRPr="00745F59">
        <w:rPr>
          <w:rFonts w:cs="Times New Roman"/>
          <w:szCs w:val="24"/>
        </w:rPr>
        <w:t>Silver Iodide flares</w:t>
      </w:r>
      <w:r w:rsidR="008E0C1B" w:rsidRPr="00745F59">
        <w:rPr>
          <w:rFonts w:cs="Times New Roman"/>
          <w:szCs w:val="24"/>
        </w:rPr>
        <w:t>.</w:t>
      </w:r>
      <w:r w:rsidR="007B7949" w:rsidRPr="00745F59">
        <w:rPr>
          <w:rFonts w:cs="Times New Roman"/>
          <w:szCs w:val="24"/>
        </w:rPr>
        <w:t xml:space="preserve"> </w:t>
      </w:r>
      <w:r w:rsidR="00043448" w:rsidRPr="00745F59">
        <w:rPr>
          <w:rFonts w:cs="Times New Roman"/>
          <w:szCs w:val="24"/>
        </w:rPr>
        <w:t xml:space="preserve">A </w:t>
      </w:r>
      <w:r w:rsidR="00043448" w:rsidRPr="00745F59">
        <w:rPr>
          <w:rFonts w:cs="Times New Roman"/>
          <w:color w:val="000000"/>
          <w:szCs w:val="24"/>
        </w:rPr>
        <w:t xml:space="preserve">dilution system is necessary to get an accurate concentration measurement without saturating the instruments. Two different dilution systems have been tested, a valve dilution system and a tank dilution system. </w:t>
      </w:r>
      <w:r w:rsidR="00AB647C" w:rsidRPr="00745F59">
        <w:rPr>
          <w:rFonts w:cs="Times New Roman"/>
          <w:szCs w:val="24"/>
        </w:rPr>
        <w:t>The</w:t>
      </w:r>
      <w:r w:rsidR="007B7949" w:rsidRPr="00745F59">
        <w:rPr>
          <w:rFonts w:cs="Times New Roman"/>
          <w:szCs w:val="24"/>
        </w:rPr>
        <w:t xml:space="preserve"> valve dilution system is only able to obtain a </w:t>
      </w:r>
      <m:oMath>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2</m:t>
            </m:r>
          </m:sup>
        </m:sSup>
      </m:oMath>
      <w:r w:rsidR="007B7949" w:rsidRPr="00745F59">
        <w:rPr>
          <w:rFonts w:eastAsiaTheme="minorEastAsia" w:cs="Times New Roman"/>
          <w:szCs w:val="24"/>
        </w:rPr>
        <w:t xml:space="preserve"> decrease in concentration</w:t>
      </w:r>
      <w:r w:rsidR="00AB647C" w:rsidRPr="00745F59">
        <w:rPr>
          <w:rFonts w:eastAsiaTheme="minorEastAsia" w:cs="Times New Roman"/>
          <w:szCs w:val="24"/>
        </w:rPr>
        <w:t xml:space="preserve">, however, the tank dilution system </w:t>
      </w:r>
      <w:r w:rsidR="00662D84" w:rsidRPr="00745F59">
        <w:rPr>
          <w:rFonts w:eastAsiaTheme="minorEastAsia" w:cs="Times New Roman"/>
          <w:szCs w:val="24"/>
        </w:rPr>
        <w:t>can</w:t>
      </w:r>
      <w:r w:rsidR="007B7949" w:rsidRPr="00745F59">
        <w:rPr>
          <w:rFonts w:eastAsiaTheme="minorEastAsia" w:cs="Times New Roman"/>
          <w:szCs w:val="24"/>
        </w:rPr>
        <w:t xml:space="preserve"> decrease the particle co</w:t>
      </w:r>
      <w:r w:rsidR="00662D84" w:rsidRPr="00745F59">
        <w:rPr>
          <w:rFonts w:eastAsiaTheme="minorEastAsia" w:cs="Times New Roman"/>
          <w:szCs w:val="24"/>
        </w:rPr>
        <w:t xml:space="preserve">ncentration by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5</m:t>
            </m:r>
          </m:sup>
        </m:sSup>
      </m:oMath>
      <w:r w:rsidR="00AB647C" w:rsidRPr="00745F59">
        <w:rPr>
          <w:rFonts w:eastAsiaTheme="minorEastAsia" w:cs="Times New Roman"/>
          <w:szCs w:val="24"/>
        </w:rPr>
        <w:t xml:space="preserve"> to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6</m:t>
            </m:r>
          </m:sup>
        </m:sSup>
      </m:oMath>
      <w:r w:rsidR="00662D84" w:rsidRPr="00745F59">
        <w:rPr>
          <w:rFonts w:cs="Times New Roman"/>
          <w:szCs w:val="24"/>
        </w:rPr>
        <w:t>.</w:t>
      </w:r>
      <w:r w:rsidR="00A53805" w:rsidRPr="00745F59">
        <w:rPr>
          <w:rFonts w:cs="Times New Roman"/>
          <w:szCs w:val="24"/>
        </w:rPr>
        <w:t xml:space="preserve"> </w:t>
      </w:r>
      <w:r w:rsidR="001F20F6" w:rsidRPr="00745F59">
        <w:rPr>
          <w:rFonts w:cs="Times New Roman"/>
          <w:szCs w:val="24"/>
        </w:rPr>
        <w:t xml:space="preserve">The tank dilution system needs </w:t>
      </w:r>
      <w:r w:rsidR="00AB647C" w:rsidRPr="00745F59">
        <w:rPr>
          <w:rFonts w:cs="Times New Roman"/>
          <w:szCs w:val="24"/>
        </w:rPr>
        <w:t>additional</w:t>
      </w:r>
      <w:r w:rsidR="00CF3C03" w:rsidRPr="00745F59">
        <w:rPr>
          <w:rFonts w:cs="Times New Roman"/>
          <w:szCs w:val="24"/>
        </w:rPr>
        <w:t xml:space="preserve"> test</w:t>
      </w:r>
      <w:r w:rsidR="00AB647C" w:rsidRPr="00745F59">
        <w:rPr>
          <w:rFonts w:cs="Times New Roman"/>
          <w:szCs w:val="24"/>
        </w:rPr>
        <w:t>ing</w:t>
      </w:r>
      <w:r w:rsidR="00662D84" w:rsidRPr="00745F59">
        <w:rPr>
          <w:rFonts w:cs="Times New Roman"/>
          <w:szCs w:val="24"/>
        </w:rPr>
        <w:t xml:space="preserve"> to ensure that it provides the calculated dilution</w:t>
      </w:r>
      <w:r w:rsidR="00AB647C" w:rsidRPr="00745F59">
        <w:rPr>
          <w:rFonts w:cs="Times New Roman"/>
          <w:szCs w:val="24"/>
        </w:rPr>
        <w:t xml:space="preserve"> before deployment to the cloud chamber.</w:t>
      </w:r>
    </w:p>
    <w:p w:rsidR="00BE0362" w:rsidRDefault="00BE0362" w:rsidP="00B5352D">
      <w:pPr>
        <w:pStyle w:val="Heading1"/>
      </w:pPr>
      <w:r w:rsidRPr="0094243D">
        <w:t>Introduction</w:t>
      </w:r>
    </w:p>
    <w:p w:rsidR="00AB647C" w:rsidRDefault="00F054CE" w:rsidP="001532B9">
      <w:pPr>
        <w:rPr>
          <w:color w:val="000000"/>
          <w:sz w:val="27"/>
          <w:szCs w:val="27"/>
        </w:rPr>
      </w:pPr>
      <w:r w:rsidRPr="00F054CE">
        <w:t xml:space="preserve">Throughout early history, many scientists had discoveries that were built into the </w:t>
      </w:r>
      <w:r w:rsidRPr="00F054CE">
        <w:rPr>
          <w:shd w:val="clear" w:color="auto" w:fill="FFFFFF"/>
        </w:rPr>
        <w:t>understanding of weather modification.</w:t>
      </w:r>
      <w:r w:rsidRPr="00F054CE">
        <w:t xml:space="preserve"> </w:t>
      </w:r>
      <w:r w:rsidRPr="00F054CE">
        <w:rPr>
          <w:shd w:val="clear" w:color="auto" w:fill="FFFFFF"/>
        </w:rPr>
        <w:t>The Wegener–Bergeron–Findeisen Process explained how ice crystals and liquid droplets in a mixed cloud can create precipitation (Bergeron 1935; Findeisen 1938; Wegener 1911). In 1946, Vincent Schaefer conducted an experiment in the General Electric Research Laboratory in New York, which proved that adding dry ice in a supercooled cloud will provide ice crystals within 10 seconds (</w:t>
      </w:r>
      <w:r w:rsidRPr="00F054CE">
        <w:rPr>
          <w:color w:val="00000A"/>
        </w:rPr>
        <w:t>Schaefer 1946</w:t>
      </w:r>
      <w:r w:rsidRPr="00F054CE">
        <w:rPr>
          <w:shd w:val="clear" w:color="auto" w:fill="FFFFFF"/>
        </w:rPr>
        <w:t xml:space="preserve">). It is what Vincent Schafer, Tor Bergeron, Walter Findeisen, Alfred Wegener, and leading scientists accomplished that provided building blocks </w:t>
      </w:r>
      <w:r w:rsidR="00AB647C">
        <w:rPr>
          <w:shd w:val="clear" w:color="auto" w:fill="FFFFFF"/>
        </w:rPr>
        <w:t>of the weather modification field</w:t>
      </w:r>
      <w:r w:rsidRPr="00F054CE">
        <w:rPr>
          <w:shd w:val="clear" w:color="auto" w:fill="FFFFFF"/>
        </w:rPr>
        <w:t xml:space="preserve">. </w:t>
      </w:r>
      <w:r w:rsidR="00047E8E">
        <w:rPr>
          <w:shd w:val="clear" w:color="auto" w:fill="FFFFFF"/>
        </w:rPr>
        <w:t xml:space="preserve">Today, </w:t>
      </w:r>
      <w:r w:rsidR="00047E8E">
        <w:t>weather modification projects are conducted through-out the world</w:t>
      </w:r>
      <w:r w:rsidR="00031B43">
        <w:t xml:space="preserve"> and </w:t>
      </w:r>
      <w:r w:rsidR="00A573E3">
        <w:t>seven</w:t>
      </w:r>
      <w:r w:rsidR="00047E8E">
        <w:t xml:space="preserve"> states i</w:t>
      </w:r>
      <w:r w:rsidR="00BE1A57">
        <w:t>n the USA</w:t>
      </w:r>
      <w:r w:rsidR="00031B43">
        <w:t xml:space="preserve"> </w:t>
      </w:r>
      <w:r w:rsidR="00047E8E">
        <w:t>(Weather Modification Association</w:t>
      </w:r>
      <w:r w:rsidR="00A22D20">
        <w:t xml:space="preserve"> 2</w:t>
      </w:r>
      <w:r w:rsidR="00745F59">
        <w:t>001-2017</w:t>
      </w:r>
      <w:r w:rsidR="00047E8E">
        <w:t>).</w:t>
      </w:r>
      <w:r w:rsidRPr="00F054CE">
        <w:t> </w:t>
      </w:r>
      <w:r w:rsidR="001D43B3">
        <w:t>For example, in</w:t>
      </w:r>
      <w:r w:rsidRPr="00F054CE">
        <w:t xml:space="preserve"> western North Dakota there i</w:t>
      </w:r>
      <w:r w:rsidR="00DA7234">
        <w:t xml:space="preserve">s </w:t>
      </w:r>
      <w:r w:rsidR="00BE1A57">
        <w:t>an</w:t>
      </w:r>
      <w:r w:rsidR="00DA7234">
        <w:t xml:space="preserve"> operational weather modification </w:t>
      </w:r>
      <w:r w:rsidR="00C51A08">
        <w:t>program</w:t>
      </w:r>
      <w:r w:rsidR="00DA7234">
        <w:t xml:space="preserve"> called</w:t>
      </w:r>
      <w:r w:rsidR="00C51A08">
        <w:t xml:space="preserve"> the</w:t>
      </w:r>
      <w:r w:rsidR="00DA7234">
        <w:t xml:space="preserve"> “</w:t>
      </w:r>
      <w:r w:rsidRPr="00F054CE">
        <w:t>North Dakota Cloud Modification Project</w:t>
      </w:r>
      <w:r w:rsidR="00DA7234">
        <w:t>”</w:t>
      </w:r>
      <w:r w:rsidR="00AB647C">
        <w:t xml:space="preserve"> </w:t>
      </w:r>
      <w:r w:rsidRPr="00F054CE">
        <w:t>(NDCMP).  </w:t>
      </w:r>
      <w:r w:rsidR="007E245A">
        <w:t xml:space="preserve">The NDCMP </w:t>
      </w:r>
      <w:r w:rsidR="00AB647C">
        <w:t>conducts</w:t>
      </w:r>
      <w:r w:rsidR="007E245A">
        <w:t xml:space="preserve"> weather modification</w:t>
      </w:r>
      <w:r w:rsidR="00AB647C">
        <w:t xml:space="preserve"> operations using Silver Iodide Flares,</w:t>
      </w:r>
      <w:r w:rsidR="007E245A">
        <w:t xml:space="preserve"> which ties into</w:t>
      </w:r>
      <w:r w:rsidRPr="00F054CE">
        <w:rPr>
          <w:shd w:val="clear" w:color="auto" w:fill="FFFFFF"/>
        </w:rPr>
        <w:t xml:space="preserve"> </w:t>
      </w:r>
      <w:r w:rsidR="00E344CF">
        <w:rPr>
          <w:shd w:val="clear" w:color="auto" w:fill="FFFFFF"/>
        </w:rPr>
        <w:t xml:space="preserve">the </w:t>
      </w:r>
      <w:r w:rsidR="00C51A08">
        <w:rPr>
          <w:shd w:val="clear" w:color="auto" w:fill="FFFFFF"/>
        </w:rPr>
        <w:t>“</w:t>
      </w:r>
      <w:r w:rsidRPr="00F054CE">
        <w:rPr>
          <w:shd w:val="clear" w:color="auto" w:fill="FFFFFF"/>
        </w:rPr>
        <w:t>Characteristics of Silver Iodide Flares used for Weather Modification Projects</w:t>
      </w:r>
      <w:r w:rsidR="00C51A08">
        <w:rPr>
          <w:shd w:val="clear" w:color="auto" w:fill="FFFFFF"/>
        </w:rPr>
        <w:t>”</w:t>
      </w:r>
      <w:r w:rsidR="00AB647C">
        <w:rPr>
          <w:shd w:val="clear" w:color="auto" w:fill="FFFFFF"/>
        </w:rPr>
        <w:t xml:space="preserve"> </w:t>
      </w:r>
      <w:r w:rsidR="00C51A08">
        <w:rPr>
          <w:shd w:val="clear" w:color="auto" w:fill="FFFFFF"/>
        </w:rPr>
        <w:t xml:space="preserve">research </w:t>
      </w:r>
      <w:r w:rsidR="00AB647C">
        <w:rPr>
          <w:shd w:val="clear" w:color="auto" w:fill="FFFFFF"/>
        </w:rPr>
        <w:t>currently conducted at the University of North Dakota (UND)</w:t>
      </w:r>
      <w:r w:rsidR="007E245A">
        <w:rPr>
          <w:shd w:val="clear" w:color="auto" w:fill="FFFFFF"/>
        </w:rPr>
        <w:t>. Hopefully, this</w:t>
      </w:r>
      <w:r w:rsidR="00BE1A57">
        <w:rPr>
          <w:shd w:val="clear" w:color="auto" w:fill="FFFFFF"/>
        </w:rPr>
        <w:t xml:space="preserve"> </w:t>
      </w:r>
      <w:r w:rsidR="00AB647C">
        <w:rPr>
          <w:shd w:val="clear" w:color="auto" w:fill="FFFFFF"/>
        </w:rPr>
        <w:t xml:space="preserve">UND research project </w:t>
      </w:r>
      <w:r w:rsidR="00BE1A57">
        <w:rPr>
          <w:shd w:val="clear" w:color="auto" w:fill="FFFFFF"/>
        </w:rPr>
        <w:t>will be a</w:t>
      </w:r>
      <w:r w:rsidRPr="00F054CE">
        <w:rPr>
          <w:shd w:val="clear" w:color="auto" w:fill="FFFFFF"/>
        </w:rPr>
        <w:t xml:space="preserve"> stepping stone that will lead to</w:t>
      </w:r>
      <w:r w:rsidR="00AB647C">
        <w:rPr>
          <w:shd w:val="clear" w:color="auto" w:fill="FFFFFF"/>
        </w:rPr>
        <w:t xml:space="preserve"> additional </w:t>
      </w:r>
      <w:r w:rsidRPr="00F054CE">
        <w:rPr>
          <w:shd w:val="clear" w:color="auto" w:fill="FFFFFF"/>
        </w:rPr>
        <w:t>Weather Modification</w:t>
      </w:r>
      <w:r w:rsidR="00AB647C">
        <w:rPr>
          <w:shd w:val="clear" w:color="auto" w:fill="FFFFFF"/>
        </w:rPr>
        <w:t xml:space="preserve"> research projects</w:t>
      </w:r>
      <w:r w:rsidRPr="00F054CE">
        <w:rPr>
          <w:shd w:val="clear" w:color="auto" w:fill="FFFFFF"/>
        </w:rPr>
        <w:t>.</w:t>
      </w:r>
    </w:p>
    <w:p w:rsidR="00F054CE" w:rsidRPr="00F054CE" w:rsidRDefault="00A573E3" w:rsidP="001532B9">
      <w:r>
        <w:rPr>
          <w:shd w:val="clear" w:color="auto" w:fill="FFFFFF"/>
        </w:rPr>
        <w:t>A century</w:t>
      </w:r>
      <w:r w:rsidR="00F054CE" w:rsidRPr="00F054CE">
        <w:rPr>
          <w:shd w:val="clear" w:color="auto" w:fill="FFFFFF"/>
        </w:rPr>
        <w:t xml:space="preserve"> ha</w:t>
      </w:r>
      <w:r>
        <w:rPr>
          <w:shd w:val="clear" w:color="auto" w:fill="FFFFFF"/>
        </w:rPr>
        <w:t>s</w:t>
      </w:r>
      <w:r w:rsidR="00F054CE" w:rsidRPr="00F054CE">
        <w:rPr>
          <w:shd w:val="clear" w:color="auto" w:fill="FFFFFF"/>
        </w:rPr>
        <w:t xml:space="preserve"> passed since the development of the Wegener–Bergeron–Findeisen Process</w:t>
      </w:r>
      <w:r>
        <w:rPr>
          <w:shd w:val="clear" w:color="auto" w:fill="FFFFFF"/>
        </w:rPr>
        <w:t>,</w:t>
      </w:r>
      <w:r w:rsidR="00F054CE" w:rsidRPr="00F054CE">
        <w:rPr>
          <w:shd w:val="clear" w:color="auto" w:fill="FFFFFF"/>
        </w:rPr>
        <w:t xml:space="preserve"> but the </w:t>
      </w:r>
      <w:r w:rsidR="00AB647C">
        <w:rPr>
          <w:shd w:val="clear" w:color="auto" w:fill="FFFFFF"/>
        </w:rPr>
        <w:t>theory</w:t>
      </w:r>
      <w:r w:rsidR="00F054CE" w:rsidRPr="00F054CE">
        <w:rPr>
          <w:shd w:val="clear" w:color="auto" w:fill="FFFFFF"/>
        </w:rPr>
        <w:t xml:space="preserve"> </w:t>
      </w:r>
      <w:r w:rsidR="00BE1A57">
        <w:rPr>
          <w:shd w:val="clear" w:color="auto" w:fill="FFFFFF"/>
        </w:rPr>
        <w:t>endures</w:t>
      </w:r>
      <w:r w:rsidR="00554753">
        <w:rPr>
          <w:shd w:val="clear" w:color="auto" w:fill="FFFFFF"/>
        </w:rPr>
        <w:t xml:space="preserve"> today</w:t>
      </w:r>
      <w:r w:rsidR="00F054CE" w:rsidRPr="00F054CE">
        <w:rPr>
          <w:shd w:val="clear" w:color="auto" w:fill="FFFFFF"/>
        </w:rPr>
        <w:t xml:space="preserve">. North Dakota conducts operational weather modification projects in western </w:t>
      </w:r>
      <w:r w:rsidR="00F054CE" w:rsidRPr="00666234">
        <w:rPr>
          <w:szCs w:val="24"/>
          <w:shd w:val="clear" w:color="auto" w:fill="FFFFFF"/>
        </w:rPr>
        <w:t xml:space="preserve">North Dakota and research is conducted at </w:t>
      </w:r>
      <w:r w:rsidR="007E245A" w:rsidRPr="00666234">
        <w:rPr>
          <w:szCs w:val="24"/>
          <w:shd w:val="clear" w:color="auto" w:fill="FFFFFF"/>
        </w:rPr>
        <w:t>UND</w:t>
      </w:r>
      <w:r w:rsidR="00F054CE" w:rsidRPr="00666234">
        <w:rPr>
          <w:szCs w:val="24"/>
          <w:shd w:val="clear" w:color="auto" w:fill="FFFFFF"/>
        </w:rPr>
        <w:t xml:space="preserve">. At </w:t>
      </w:r>
      <w:r w:rsidR="007E245A" w:rsidRPr="00666234">
        <w:rPr>
          <w:szCs w:val="24"/>
          <w:shd w:val="clear" w:color="auto" w:fill="FFFFFF"/>
        </w:rPr>
        <w:t>UND</w:t>
      </w:r>
      <w:r w:rsidR="00F054CE" w:rsidRPr="00666234">
        <w:rPr>
          <w:szCs w:val="24"/>
          <w:shd w:val="clear" w:color="auto" w:fill="FFFFFF"/>
        </w:rPr>
        <w:t xml:space="preserve">, there has been several research projects including Bruce </w:t>
      </w:r>
      <w:proofErr w:type="spellStart"/>
      <w:r w:rsidR="00F054CE" w:rsidRPr="00666234">
        <w:rPr>
          <w:szCs w:val="24"/>
          <w:shd w:val="clear" w:color="auto" w:fill="FFFFFF"/>
        </w:rPr>
        <w:t>Boe</w:t>
      </w:r>
      <w:proofErr w:type="spellEnd"/>
      <w:r w:rsidR="00F054CE" w:rsidRPr="00666234">
        <w:rPr>
          <w:szCs w:val="24"/>
          <w:shd w:val="clear" w:color="auto" w:fill="FFFFFF"/>
        </w:rPr>
        <w:t xml:space="preserve"> and David </w:t>
      </w:r>
      <w:proofErr w:type="spellStart"/>
      <w:r w:rsidR="00F054CE" w:rsidRPr="00666234">
        <w:rPr>
          <w:szCs w:val="24"/>
          <w:shd w:val="clear" w:color="auto" w:fill="FFFFFF"/>
        </w:rPr>
        <w:t>Delene’s</w:t>
      </w:r>
      <w:proofErr w:type="spellEnd"/>
      <w:r w:rsidR="00F054CE" w:rsidRPr="00666234">
        <w:rPr>
          <w:szCs w:val="24"/>
          <w:shd w:val="clear" w:color="auto" w:fill="FFFFFF"/>
        </w:rPr>
        <w:t xml:space="preserve"> previous project entitled, “</w:t>
      </w:r>
      <w:r w:rsidR="00F054CE" w:rsidRPr="00666234">
        <w:rPr>
          <w:szCs w:val="24"/>
        </w:rPr>
        <w:t>Size Distribution Measurements of Seeding Nuclei”.</w:t>
      </w:r>
      <w:r w:rsidR="00F054CE" w:rsidRPr="00666234">
        <w:rPr>
          <w:szCs w:val="24"/>
          <w:shd w:val="clear" w:color="auto" w:fill="FFFFFF"/>
        </w:rPr>
        <w:t xml:space="preserve"> </w:t>
      </w:r>
      <w:r w:rsidR="00F054CE" w:rsidRPr="00666234">
        <w:rPr>
          <w:szCs w:val="24"/>
        </w:rPr>
        <w:t> </w:t>
      </w:r>
      <w:r w:rsidR="00B10600" w:rsidRPr="00666234">
        <w:rPr>
          <w:szCs w:val="24"/>
        </w:rPr>
        <w:t>In</w:t>
      </w:r>
      <w:r w:rsidR="00F9073E">
        <w:rPr>
          <w:szCs w:val="24"/>
        </w:rPr>
        <w:t xml:space="preserve"> </w:t>
      </w:r>
      <w:proofErr w:type="spellStart"/>
      <w:r w:rsidR="00F9073E">
        <w:rPr>
          <w:szCs w:val="24"/>
        </w:rPr>
        <w:t>Delene</w:t>
      </w:r>
      <w:proofErr w:type="spellEnd"/>
      <w:r w:rsidR="00F9073E">
        <w:rPr>
          <w:szCs w:val="24"/>
        </w:rPr>
        <w:t xml:space="preserve"> and </w:t>
      </w:r>
      <w:proofErr w:type="spellStart"/>
      <w:r w:rsidR="00F9073E">
        <w:rPr>
          <w:szCs w:val="24"/>
        </w:rPr>
        <w:t>Boe</w:t>
      </w:r>
      <w:r w:rsidR="00554753" w:rsidRPr="00666234">
        <w:rPr>
          <w:szCs w:val="24"/>
        </w:rPr>
        <w:t>’s</w:t>
      </w:r>
      <w:proofErr w:type="spellEnd"/>
      <w:r w:rsidR="00554753" w:rsidRPr="00666234">
        <w:rPr>
          <w:szCs w:val="24"/>
        </w:rPr>
        <w:t xml:space="preserve"> project three instruments were used</w:t>
      </w:r>
      <w:r w:rsidR="00193085">
        <w:rPr>
          <w:szCs w:val="24"/>
        </w:rPr>
        <w:t>:</w:t>
      </w:r>
      <w:r w:rsidR="00F054CE" w:rsidRPr="00666234">
        <w:rPr>
          <w:szCs w:val="24"/>
        </w:rPr>
        <w:t xml:space="preserve"> </w:t>
      </w:r>
      <w:r w:rsidR="00193085">
        <w:rPr>
          <w:szCs w:val="24"/>
        </w:rPr>
        <w:t>t</w:t>
      </w:r>
      <w:r w:rsidR="00F054CE" w:rsidRPr="00666234">
        <w:rPr>
          <w:szCs w:val="24"/>
        </w:rPr>
        <w:t xml:space="preserve">he </w:t>
      </w:r>
      <w:r w:rsidR="00554753" w:rsidRPr="00666234">
        <w:rPr>
          <w:szCs w:val="24"/>
        </w:rPr>
        <w:t>Condensation Particle Counter (</w:t>
      </w:r>
      <w:r w:rsidR="00554753" w:rsidRPr="002D2C36">
        <w:rPr>
          <w:szCs w:val="24"/>
        </w:rPr>
        <w:t>CPC), Scanning Mobility Particle Sizer (SMPS), and the Aerodynamic Particle Sizer (A</w:t>
      </w:r>
      <w:r w:rsidR="00666234" w:rsidRPr="002D2C36">
        <w:rPr>
          <w:szCs w:val="24"/>
        </w:rPr>
        <w:t>PS</w:t>
      </w:r>
      <w:r w:rsidR="00193085">
        <w:rPr>
          <w:szCs w:val="24"/>
        </w:rPr>
        <w:t>).</w:t>
      </w:r>
      <w:r w:rsidR="00666234" w:rsidRPr="002D2C36">
        <w:rPr>
          <w:szCs w:val="24"/>
        </w:rPr>
        <w:t xml:space="preserve"> The CPC measures the particle number concentration, the SMPS measures the size distribution of particles</w:t>
      </w:r>
      <w:r w:rsidR="00256547" w:rsidRPr="002D2C36">
        <w:rPr>
          <w:szCs w:val="24"/>
        </w:rPr>
        <w:t xml:space="preserve"> </w:t>
      </w:r>
      <w:r w:rsidR="00256547" w:rsidRPr="002D2C36">
        <w:rPr>
          <w:color w:val="000000"/>
          <w:szCs w:val="24"/>
        </w:rPr>
        <w:t>between 2.5 nm and 1000 nm</w:t>
      </w:r>
      <w:r w:rsidR="00666234" w:rsidRPr="002D2C36">
        <w:rPr>
          <w:szCs w:val="24"/>
        </w:rPr>
        <w:t xml:space="preserve">, and the APS measures the sizes distribution of the </w:t>
      </w:r>
      <w:r w:rsidR="00D04186" w:rsidRPr="002D2C36">
        <w:rPr>
          <w:szCs w:val="24"/>
        </w:rPr>
        <w:t>small particles</w:t>
      </w:r>
      <w:r w:rsidR="00256547" w:rsidRPr="002D2C36">
        <w:rPr>
          <w:szCs w:val="24"/>
        </w:rPr>
        <w:t xml:space="preserve"> </w:t>
      </w:r>
      <w:r w:rsidR="00256547" w:rsidRPr="002D2C36">
        <w:rPr>
          <w:color w:val="000000"/>
          <w:szCs w:val="24"/>
        </w:rPr>
        <w:t>between 0.</w:t>
      </w:r>
      <w:r w:rsidR="002D2C36" w:rsidRPr="002D2C36">
        <w:rPr>
          <w:color w:val="000000"/>
          <w:szCs w:val="24"/>
        </w:rPr>
        <w:t>5</w:t>
      </w:r>
      <w:r w:rsidR="00256547" w:rsidRPr="002D2C36">
        <w:rPr>
          <w:color w:val="000000"/>
          <w:szCs w:val="24"/>
        </w:rPr>
        <w:t xml:space="preserve"> um and 20 um</w:t>
      </w:r>
      <w:r w:rsidR="007B12C4">
        <w:rPr>
          <w:color w:val="000000"/>
          <w:szCs w:val="24"/>
        </w:rPr>
        <w:t xml:space="preserve"> </w:t>
      </w:r>
      <w:r w:rsidR="002D2C36" w:rsidRPr="002D2C36">
        <w:rPr>
          <w:color w:val="000000"/>
          <w:szCs w:val="24"/>
        </w:rPr>
        <w:t>(TSI 2010; TSI 2007; TSI 2004)</w:t>
      </w:r>
      <w:r w:rsidR="00666234" w:rsidRPr="002D2C36">
        <w:rPr>
          <w:szCs w:val="24"/>
        </w:rPr>
        <w:t>.</w:t>
      </w:r>
      <w:r w:rsidR="00666234" w:rsidRPr="00666234">
        <w:rPr>
          <w:szCs w:val="24"/>
        </w:rPr>
        <w:t xml:space="preserve"> </w:t>
      </w:r>
      <w:proofErr w:type="spellStart"/>
      <w:r w:rsidR="00666234" w:rsidRPr="00666234">
        <w:rPr>
          <w:color w:val="000000"/>
          <w:szCs w:val="24"/>
        </w:rPr>
        <w:t>Boe</w:t>
      </w:r>
      <w:proofErr w:type="spellEnd"/>
      <w:r w:rsidR="00666234" w:rsidRPr="00666234">
        <w:rPr>
          <w:color w:val="000000"/>
          <w:szCs w:val="24"/>
        </w:rPr>
        <w:t xml:space="preserve"> and </w:t>
      </w:r>
      <w:proofErr w:type="spellStart"/>
      <w:r w:rsidR="00666234" w:rsidRPr="00666234">
        <w:rPr>
          <w:color w:val="000000"/>
          <w:szCs w:val="24"/>
        </w:rPr>
        <w:t>Delene</w:t>
      </w:r>
      <w:proofErr w:type="spellEnd"/>
      <w:r w:rsidR="00666234" w:rsidRPr="00666234">
        <w:rPr>
          <w:color w:val="000000"/>
          <w:szCs w:val="24"/>
        </w:rPr>
        <w:t xml:space="preserve"> obtained measurements of the size distribution of Silver Iodide</w:t>
      </w:r>
      <w:r w:rsidR="00666234">
        <w:rPr>
          <w:color w:val="000000"/>
          <w:szCs w:val="24"/>
        </w:rPr>
        <w:t xml:space="preserve"> </w:t>
      </w:r>
      <w:r w:rsidR="00666234" w:rsidRPr="00666234">
        <w:rPr>
          <w:color w:val="000000"/>
          <w:szCs w:val="24"/>
        </w:rPr>
        <w:t>(AgI), hygroscopic flares</w:t>
      </w:r>
      <w:r w:rsidR="00232F4A">
        <w:rPr>
          <w:color w:val="000000"/>
          <w:szCs w:val="24"/>
        </w:rPr>
        <w:t>,</w:t>
      </w:r>
      <w:r w:rsidR="00666234" w:rsidRPr="00666234">
        <w:rPr>
          <w:color w:val="000000"/>
          <w:szCs w:val="24"/>
        </w:rPr>
        <w:t xml:space="preserve"> and background air</w:t>
      </w:r>
      <w:r w:rsidR="00F9073E">
        <w:rPr>
          <w:color w:val="000000"/>
          <w:szCs w:val="24"/>
        </w:rPr>
        <w:t xml:space="preserve"> (</w:t>
      </w:r>
      <w:proofErr w:type="spellStart"/>
      <w:r w:rsidR="00F9073E">
        <w:rPr>
          <w:color w:val="000000"/>
          <w:szCs w:val="24"/>
        </w:rPr>
        <w:t>Delene</w:t>
      </w:r>
      <w:proofErr w:type="spellEnd"/>
      <w:r w:rsidR="00F9073E">
        <w:rPr>
          <w:color w:val="000000"/>
          <w:szCs w:val="24"/>
        </w:rPr>
        <w:t xml:space="preserve"> and </w:t>
      </w:r>
      <w:proofErr w:type="spellStart"/>
      <w:r w:rsidR="00F9073E">
        <w:rPr>
          <w:color w:val="000000"/>
          <w:szCs w:val="24"/>
        </w:rPr>
        <w:t>Boe</w:t>
      </w:r>
      <w:proofErr w:type="spellEnd"/>
      <w:r w:rsidR="00F9073E">
        <w:rPr>
          <w:color w:val="000000"/>
          <w:szCs w:val="24"/>
        </w:rPr>
        <w:t xml:space="preserve"> 2016)</w:t>
      </w:r>
      <w:r w:rsidR="00666234">
        <w:rPr>
          <w:color w:val="000000"/>
          <w:sz w:val="27"/>
          <w:szCs w:val="27"/>
        </w:rPr>
        <w:t>.</w:t>
      </w:r>
    </w:p>
    <w:p w:rsidR="00630FF8" w:rsidRPr="0081236A" w:rsidRDefault="00F054CE" w:rsidP="0081236A">
      <w:pPr>
        <w:rPr>
          <w:rFonts w:eastAsia="Times New Roman" w:cs="Times New Roman"/>
          <w:color w:val="000000"/>
          <w:sz w:val="27"/>
          <w:szCs w:val="27"/>
        </w:rPr>
      </w:pPr>
      <w:r w:rsidRPr="00F054CE">
        <w:t xml:space="preserve">A year after </w:t>
      </w:r>
      <w:r w:rsidR="00A573E3">
        <w:t xml:space="preserve">Bruce </w:t>
      </w:r>
      <w:proofErr w:type="spellStart"/>
      <w:r w:rsidR="00A573E3">
        <w:t>Boe</w:t>
      </w:r>
      <w:proofErr w:type="spellEnd"/>
      <w:r w:rsidR="00A573E3">
        <w:t xml:space="preserve"> and David </w:t>
      </w:r>
      <w:proofErr w:type="spellStart"/>
      <w:r w:rsidR="00A573E3">
        <w:t>Delene’s</w:t>
      </w:r>
      <w:proofErr w:type="spellEnd"/>
      <w:r w:rsidRPr="00F054CE">
        <w:t xml:space="preserve"> experiment</w:t>
      </w:r>
      <w:r w:rsidR="00A573E3">
        <w:t xml:space="preserve">, </w:t>
      </w:r>
      <w:r w:rsidRPr="00F054CE">
        <w:t xml:space="preserve">another research project was conducted called, “Design and Testing of a Sampling System for the ICE Flare Testing Project”. Alexa Otto and David Delene obtained </w:t>
      </w:r>
      <w:r w:rsidR="00494434">
        <w:t>measurements</w:t>
      </w:r>
      <w:r w:rsidR="00A52F26">
        <w:t xml:space="preserve"> in a lab environment </w:t>
      </w:r>
      <w:r w:rsidR="00666234">
        <w:t xml:space="preserve">of particles </w:t>
      </w:r>
      <w:r w:rsidRPr="00F054CE">
        <w:t xml:space="preserve">produced by burning AgI flares with both </w:t>
      </w:r>
      <w:r w:rsidR="001E6701" w:rsidRPr="00F054CE">
        <w:t>Cloud Condensation Nuclei Counter</w:t>
      </w:r>
      <w:r w:rsidR="001E6701">
        <w:t xml:space="preserve"> (CCNC)</w:t>
      </w:r>
      <w:r w:rsidRPr="00F054CE">
        <w:t xml:space="preserve"> and SMPS</w:t>
      </w:r>
      <w:r w:rsidR="00A52F26">
        <w:t xml:space="preserve"> that </w:t>
      </w:r>
      <w:r w:rsidR="001E6701">
        <w:t>us</w:t>
      </w:r>
      <w:r w:rsidR="00A52F26">
        <w:t xml:space="preserve">es </w:t>
      </w:r>
      <w:r w:rsidRPr="00F054CE">
        <w:t>two blower</w:t>
      </w:r>
      <w:r w:rsidR="00A52F26">
        <w:t xml:space="preserve">s which </w:t>
      </w:r>
      <w:r w:rsidR="00A52F26" w:rsidRPr="00232F4A">
        <w:rPr>
          <w:szCs w:val="24"/>
        </w:rPr>
        <w:t>produce wind speeds between 70 to 80 knots.</w:t>
      </w:r>
      <w:r w:rsidR="00CE1426">
        <w:rPr>
          <w:szCs w:val="24"/>
        </w:rPr>
        <w:t xml:space="preserve"> </w:t>
      </w:r>
      <w:r w:rsidRPr="00232F4A">
        <w:rPr>
          <w:szCs w:val="24"/>
        </w:rPr>
        <w:t>The</w:t>
      </w:r>
      <w:r w:rsidR="00A52F26">
        <w:t xml:space="preserve"> total</w:t>
      </w:r>
      <w:r w:rsidRPr="00F054CE">
        <w:t xml:space="preserve"> particle </w:t>
      </w:r>
      <w:r w:rsidR="00630FF8">
        <w:t>concentration</w:t>
      </w:r>
      <w:r w:rsidRPr="00F054CE">
        <w:t xml:space="preserve"> during </w:t>
      </w:r>
      <w:r w:rsidR="00CE1426">
        <w:t>Delene</w:t>
      </w:r>
      <w:r w:rsidR="00F9073E">
        <w:t xml:space="preserve"> and Otto</w:t>
      </w:r>
      <w:r w:rsidR="00CE1426">
        <w:t>’s</w:t>
      </w:r>
      <w:r w:rsidRPr="00F054CE">
        <w:t xml:space="preserve"> AgI flare test was 1.5*</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rsidR="00086C75">
        <w:rPr>
          <w:rFonts w:eastAsiaTheme="minorEastAsia"/>
        </w:rPr>
        <w:t xml:space="preserve"> </w:t>
      </w:r>
      <w:r w:rsidR="00086C75">
        <w:rPr>
          <w:noProof/>
        </w:rPr>
        <w:t># cm</w:t>
      </w:r>
      <w:r w:rsidR="00086C75" w:rsidRPr="00086C75">
        <w:rPr>
          <w:noProof/>
          <w:vertAlign w:val="superscript"/>
        </w:rPr>
        <w:t>-3</w:t>
      </w:r>
      <w:r w:rsidR="00086C75">
        <w:rPr>
          <w:noProof/>
        </w:rPr>
        <w:t xml:space="preserve"> </w:t>
      </w:r>
      <w:r w:rsidR="00A52F26">
        <w:t>measured by the</w:t>
      </w:r>
      <w:r w:rsidRPr="00F054CE">
        <w:t xml:space="preserve"> SMPS, </w:t>
      </w:r>
      <w:r w:rsidR="0092097C" w:rsidRPr="00F054CE">
        <w:t>and 7</w:t>
      </w:r>
      <w:r w:rsidRPr="00F054CE">
        <w:t>*</w:t>
      </w:r>
      <m:oMath>
        <m:sSup>
          <m:sSupPr>
            <m:ctrlPr>
              <w:rPr>
                <w:rFonts w:ascii="Cambria Math" w:hAnsi="Cambria Math"/>
                <w:i/>
              </w:rPr>
            </m:ctrlPr>
          </m:sSupPr>
          <m:e>
            <m:r>
              <w:rPr>
                <w:rFonts w:ascii="Cambria Math" w:hAnsi="Cambria Math"/>
              </w:rPr>
              <m:t>10</m:t>
            </m:r>
          </m:e>
          <m:sup>
            <m:r>
              <w:rPr>
                <w:rFonts w:ascii="Cambria Math" w:hAnsi="Cambria Math"/>
              </w:rPr>
              <m:t>4</m:t>
            </m:r>
          </m:sup>
        </m:sSup>
      </m:oMath>
      <w:r w:rsidR="00086C75">
        <w:rPr>
          <w:rFonts w:eastAsiaTheme="minorEastAsia"/>
        </w:rPr>
        <w:t xml:space="preserve"> </w:t>
      </w:r>
      <w:r w:rsidR="00086C75">
        <w:rPr>
          <w:noProof/>
        </w:rPr>
        <w:t xml:space="preserve"> # cm</w:t>
      </w:r>
      <w:r w:rsidR="00086C75" w:rsidRPr="00086C75">
        <w:rPr>
          <w:noProof/>
          <w:vertAlign w:val="superscript"/>
        </w:rPr>
        <w:t>-3</w:t>
      </w:r>
      <w:r w:rsidR="00086C75">
        <w:rPr>
          <w:noProof/>
        </w:rPr>
        <w:t xml:space="preserve"> </w:t>
      </w:r>
      <w:r w:rsidR="00A52F26">
        <w:t xml:space="preserve">measured </w:t>
      </w:r>
      <w:r w:rsidR="001B5AFA">
        <w:t>in</w:t>
      </w:r>
      <w:r w:rsidR="00A52F26">
        <w:t xml:space="preserve"> the</w:t>
      </w:r>
      <w:r w:rsidRPr="00F054CE">
        <w:t xml:space="preserve"> CCNC. </w:t>
      </w:r>
      <w:r w:rsidR="00F9073E">
        <w:t>Delene and Otto</w:t>
      </w:r>
      <w:r w:rsidR="00CE1426">
        <w:t xml:space="preserve">’s experiment indicated a </w:t>
      </w:r>
      <w:r w:rsidRPr="00F054CE">
        <w:t xml:space="preserve">concentration at 12.2 nm </w:t>
      </w:r>
      <w:r w:rsidRPr="00F054CE">
        <w:lastRenderedPageBreak/>
        <w:t>diameter was 2*</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rsidRPr="00F054CE">
        <w:t xml:space="preserve"> </w:t>
      </w:r>
      <w:r w:rsidR="00086C75">
        <w:rPr>
          <w:noProof/>
        </w:rPr>
        <w:t xml:space="preserve"> # cm</w:t>
      </w:r>
      <w:r w:rsidR="00086C75" w:rsidRPr="00086C75">
        <w:rPr>
          <w:noProof/>
          <w:vertAlign w:val="superscript"/>
        </w:rPr>
        <w:t>-3</w:t>
      </w:r>
      <w:r w:rsidR="00086C75">
        <w:rPr>
          <w:noProof/>
        </w:rPr>
        <w:t xml:space="preserve">, </w:t>
      </w:r>
      <w:r w:rsidR="00CE1426">
        <w:rPr>
          <w:rFonts w:eastAsiaTheme="minorEastAsia"/>
        </w:rPr>
        <w:t>and</w:t>
      </w:r>
      <w:r w:rsidRPr="00F054CE">
        <w:t xml:space="preserve"> size distribution </w:t>
      </w:r>
      <w:r w:rsidR="0081236A">
        <w:t>between 70 to 80 knot winds</w:t>
      </w:r>
      <w:r w:rsidRPr="00F054CE">
        <w:t xml:space="preserve"> at a 30 nm diameter was 1.51*</w:t>
      </w:r>
      <m:oMath>
        <m:sSup>
          <m:sSupPr>
            <m:ctrlPr>
              <w:rPr>
                <w:rFonts w:ascii="Cambria Math" w:hAnsi="Cambria Math"/>
                <w:i/>
              </w:rPr>
            </m:ctrlPr>
          </m:sSupPr>
          <m:e>
            <m:r>
              <w:rPr>
                <w:rFonts w:ascii="Cambria Math" w:hAnsi="Cambria Math"/>
              </w:rPr>
              <m:t>10</m:t>
            </m:r>
          </m:e>
          <m:sup>
            <m:r>
              <w:rPr>
                <w:rFonts w:ascii="Cambria Math" w:hAnsi="Cambria Math"/>
              </w:rPr>
              <m:t>7</m:t>
            </m:r>
          </m:sup>
        </m:sSup>
      </m:oMath>
      <w:r w:rsidR="00086C75">
        <w:t xml:space="preserve"> </w:t>
      </w:r>
      <w:r w:rsidR="00086C75">
        <w:rPr>
          <w:noProof/>
        </w:rPr>
        <w:t># cm</w:t>
      </w:r>
      <w:r w:rsidR="00086C75" w:rsidRPr="00086C75">
        <w:rPr>
          <w:noProof/>
          <w:vertAlign w:val="superscript"/>
        </w:rPr>
        <w:t>-3</w:t>
      </w:r>
      <w:r w:rsidRPr="00F054CE">
        <w:t>.</w:t>
      </w:r>
      <w:r w:rsidR="00043448">
        <w:t xml:space="preserve"> </w:t>
      </w:r>
      <w:r w:rsidRPr="00F054CE">
        <w:t xml:space="preserve">Unfortunately, too many particles were </w:t>
      </w:r>
      <w:r w:rsidR="00043448">
        <w:t>produced by</w:t>
      </w:r>
      <w:r w:rsidR="00106CC7">
        <w:t xml:space="preserve"> the blowers</w:t>
      </w:r>
      <w:r w:rsidRPr="00F054CE">
        <w:t xml:space="preserve"> causing contamina</w:t>
      </w:r>
      <w:r w:rsidR="00C51A08">
        <w:t>nts</w:t>
      </w:r>
      <w:r w:rsidRPr="00F054CE">
        <w:t xml:space="preserve"> coat the instruments, and</w:t>
      </w:r>
      <w:r w:rsidR="00DA6314">
        <w:t xml:space="preserve"> the</w:t>
      </w:r>
      <w:r w:rsidRPr="00F054CE">
        <w:t xml:space="preserve"> </w:t>
      </w:r>
      <w:r w:rsidR="00890658">
        <w:t>flow rate</w:t>
      </w:r>
      <w:r w:rsidRPr="00F054CE">
        <w:t xml:space="preserve"> </w:t>
      </w:r>
      <w:r w:rsidR="00890658">
        <w:t>through the burning tube</w:t>
      </w:r>
      <w:r w:rsidR="00DA6314">
        <w:t xml:space="preserve"> was low</w:t>
      </w:r>
      <w:r w:rsidR="00D04186">
        <w:t xml:space="preserve"> (</w:t>
      </w:r>
      <w:r w:rsidR="00F9073E">
        <w:t>Delene and Otto</w:t>
      </w:r>
      <w:r w:rsidR="00D04186">
        <w:t xml:space="preserve"> 2017).</w:t>
      </w:r>
      <w:r w:rsidR="00DA6314">
        <w:t xml:space="preserve"> T</w:t>
      </w:r>
      <w:r w:rsidR="00DA6314">
        <w:rPr>
          <w:rFonts w:eastAsiaTheme="minorEastAsia"/>
        </w:rPr>
        <w:t>he 3771 CPC model is inaccurate due to the particles coincidence within the laser beam at</w:t>
      </w:r>
      <w:r w:rsidR="00DA6314">
        <w:t xml:space="preserve"> concentrations about </w:t>
      </w:r>
      <w:r w:rsidR="0081236A">
        <w:t>10,000</w:t>
      </w:r>
      <w:r w:rsidR="00086C75">
        <w:rPr>
          <w:noProof/>
        </w:rPr>
        <w:t xml:space="preserve"> # cm</w:t>
      </w:r>
      <w:r w:rsidR="00086C75" w:rsidRPr="00086C75">
        <w:rPr>
          <w:noProof/>
          <w:vertAlign w:val="superscript"/>
        </w:rPr>
        <w:t>-3</w:t>
      </w:r>
      <w:r w:rsidR="002D2C36">
        <w:rPr>
          <w:rFonts w:eastAsiaTheme="minorEastAsia"/>
        </w:rPr>
        <w:t xml:space="preserve"> (TSI 2007)</w:t>
      </w:r>
      <w:r w:rsidR="00DA6314">
        <w:rPr>
          <w:rFonts w:eastAsiaTheme="minorEastAsia"/>
        </w:rPr>
        <w:t>.</w:t>
      </w:r>
      <w:r w:rsidRPr="00F054CE">
        <w:t xml:space="preserve"> The intake of contamina</w:t>
      </w:r>
      <w:r w:rsidR="00C51A08">
        <w:t>nt</w:t>
      </w:r>
      <w:r w:rsidRPr="00F054CE">
        <w:t>s came</w:t>
      </w:r>
      <w:r w:rsidR="0081236A">
        <w:t xml:space="preserve"> from the brushes on the blower motors.</w:t>
      </w:r>
      <w:r w:rsidRPr="00F054CE">
        <w:t xml:space="preserve"> </w:t>
      </w:r>
    </w:p>
    <w:p w:rsidR="00ED2884" w:rsidRDefault="00F054CE" w:rsidP="001532B9">
      <w:r w:rsidRPr="00F054CE">
        <w:t>These past experiments had issues with the low flow from two blowers and contamination of the CPC and SMPS from lack of air filters</w:t>
      </w:r>
      <w:r w:rsidR="00F9073E">
        <w:t xml:space="preserve"> (</w:t>
      </w:r>
      <w:proofErr w:type="spellStart"/>
      <w:r w:rsidR="00F9073E">
        <w:t>Delene</w:t>
      </w:r>
      <w:proofErr w:type="spellEnd"/>
      <w:r w:rsidR="00F9073E">
        <w:t xml:space="preserve"> and </w:t>
      </w:r>
      <w:proofErr w:type="spellStart"/>
      <w:r w:rsidR="00F9073E">
        <w:t>Boe</w:t>
      </w:r>
      <w:proofErr w:type="spellEnd"/>
      <w:r w:rsidR="00F9073E">
        <w:t xml:space="preserve"> 2016; </w:t>
      </w:r>
      <w:proofErr w:type="spellStart"/>
      <w:r w:rsidR="00F9073E">
        <w:t>Delene</w:t>
      </w:r>
      <w:proofErr w:type="spellEnd"/>
      <w:r w:rsidR="00F9073E">
        <w:t xml:space="preserve"> and Otto 2017)</w:t>
      </w:r>
      <w:r w:rsidRPr="00F054CE">
        <w:t>. These issues lead to the motivation behind the purpose of this current project; to measure the size distribution of the particles, with the help of a dilution system and air filters while burning Silver Iodide flares used for cloud seeding</w:t>
      </w:r>
      <w:r w:rsidR="00DA6314">
        <w:t xml:space="preserve">. The goal of the current project is to build on the previous work by adding filter boxes between the blowers and the burning tube, and to test a dilution system. Two different types of dilution systems are evaluated, a valve and tank dilution system. </w:t>
      </w:r>
      <w:r w:rsidRPr="00F054CE">
        <w:t xml:space="preserve">This project will be a stepping stone that will lead to more experiments performed at the PI Cloud Chamber at </w:t>
      </w:r>
      <w:r w:rsidR="006C4987">
        <w:t>Michigan Technical University (MTU)</w:t>
      </w:r>
      <w:r w:rsidRPr="00F054CE">
        <w:t>.</w:t>
      </w:r>
    </w:p>
    <w:p w:rsidR="00A5284B" w:rsidRDefault="00A5284B" w:rsidP="00A5284B">
      <w:pPr>
        <w:pStyle w:val="Heading1"/>
      </w:pPr>
      <w:r w:rsidRPr="00EA6078">
        <w:t>Methodology</w:t>
      </w:r>
    </w:p>
    <w:p w:rsidR="00A5284B" w:rsidRDefault="00A5284B" w:rsidP="00EE684B">
      <w:r w:rsidRPr="00745F59">
        <w:t>The experiments conducted have been done in the Atmospheric Chemistry and Instrumentation Laboratory in Clifford Hall, Room 423, at UND</w:t>
      </w:r>
      <w:r w:rsidR="0081236A" w:rsidRPr="00745F59">
        <w:t>. T</w:t>
      </w:r>
      <w:r w:rsidRPr="00745F59">
        <w:t>he</w:t>
      </w:r>
      <w:r w:rsidR="00EE684B" w:rsidRPr="00745F59">
        <w:t xml:space="preserve"> two blowers are connected to the air filter boxes</w:t>
      </w:r>
      <w:r w:rsidRPr="00745F59">
        <w:t>. The air filter boxes shown in</w:t>
      </w:r>
      <w:r w:rsidR="00C900FB">
        <w:t xml:space="preserve"> </w:t>
      </w:r>
      <w:r w:rsidR="00C900FB">
        <w:fldChar w:fldCharType="begin"/>
      </w:r>
      <w:r w:rsidR="00C900FB">
        <w:instrText xml:space="preserve"> REF _Ref516994135 \h </w:instrText>
      </w:r>
      <w:r w:rsidR="00C900FB">
        <w:fldChar w:fldCharType="separate"/>
      </w:r>
      <w:r w:rsidR="00C900FB" w:rsidRPr="005D08A6">
        <w:t xml:space="preserve">Figure </w:t>
      </w:r>
      <w:r w:rsidR="00C900FB">
        <w:rPr>
          <w:noProof/>
        </w:rPr>
        <w:t>1</w:t>
      </w:r>
      <w:r w:rsidR="00C900FB">
        <w:fldChar w:fldCharType="end"/>
      </w:r>
      <w:r w:rsidR="003B3312">
        <w:t xml:space="preserve"> </w:t>
      </w:r>
      <w:r w:rsidR="00EE684B" w:rsidRPr="00745F59">
        <w:t>are used to</w:t>
      </w:r>
      <w:r w:rsidRPr="00745F59">
        <w:t xml:space="preserve"> reduce the particle contamina</w:t>
      </w:r>
      <w:r w:rsidR="00C51A08">
        <w:t>nt</w:t>
      </w:r>
      <w:r w:rsidRPr="00745F59">
        <w:t>s from two</w:t>
      </w:r>
      <w:r w:rsidR="00EE684B" w:rsidRPr="00745F59">
        <w:t xml:space="preserve"> blowers</w:t>
      </w:r>
      <w:r w:rsidRPr="00745F59">
        <w:t>. The air filter boxes are attached to a 4 ft long stainless steel burning tube</w:t>
      </w:r>
      <w:r w:rsidR="00EE684B" w:rsidRPr="00745F59">
        <w:t xml:space="preserve"> where the flare </w:t>
      </w:r>
      <w:r w:rsidR="006C4987" w:rsidRPr="00745F59">
        <w:t>is</w:t>
      </w:r>
      <w:r w:rsidR="00EE684B" w:rsidRPr="00745F59">
        <w:t xml:space="preserve"> burned</w:t>
      </w:r>
      <w:r w:rsidRPr="00745F59">
        <w:t xml:space="preserve">. The tube has a 3 inch outside diameter </w:t>
      </w:r>
      <w:r w:rsidR="006C4987">
        <w:t>and</w:t>
      </w:r>
      <w:r w:rsidRPr="00745F59">
        <w:t xml:space="preserve"> </w:t>
      </w:r>
      <w:r w:rsidR="008629DF">
        <w:t>1/16</w:t>
      </w:r>
      <w:r w:rsidRPr="00745F59">
        <w:t xml:space="preserve"> inch thick</w:t>
      </w:r>
      <w:r w:rsidR="00EE684B" w:rsidRPr="00745F59">
        <w:t xml:space="preserve"> walls. </w:t>
      </w:r>
      <w:r w:rsidRPr="00745F59">
        <w:t>The inside area of the burning tube is 4,188</w:t>
      </w:r>
      <w:r w:rsidR="00086C75">
        <w:t xml:space="preserve"> mm</w:t>
      </w:r>
      <w:r w:rsidR="00086C75" w:rsidRPr="00086C75">
        <w:rPr>
          <w:vertAlign w:val="superscript"/>
        </w:rPr>
        <w:t>2</w:t>
      </w:r>
      <w:r w:rsidRPr="00745F59">
        <w:t>. Along the burning tube is several sampling ports</w:t>
      </w:r>
      <w:r w:rsidR="00EE684B" w:rsidRPr="00745F59">
        <w:t>.</w:t>
      </w:r>
      <w:r w:rsidR="006C4987">
        <w:t xml:space="preserve"> The burning tube is attached to the fume hood.</w:t>
      </w:r>
      <w:r w:rsidR="00EE684B" w:rsidRPr="00745F59">
        <w:t xml:space="preserve"> The fume hood is used to vent the tube outside the building. </w:t>
      </w:r>
      <w:r w:rsidR="007B12C4">
        <w:t xml:space="preserve">A SMPS and </w:t>
      </w:r>
      <w:r w:rsidR="00EE684B" w:rsidRPr="00745F59">
        <w:t>CPC is used to measure the particle concentration after the dilution</w:t>
      </w:r>
      <w:r w:rsidR="00EE684B">
        <w:t xml:space="preserve"> system</w:t>
      </w:r>
      <w:r w:rsidR="00745F59">
        <w:t>.</w:t>
      </w:r>
    </w:p>
    <w:p w:rsidR="00EE684B" w:rsidRDefault="00DB7104" w:rsidP="00745F59">
      <w:r>
        <w:t>Figure 2 shows the valve dilution system with three set of valves.</w:t>
      </w:r>
      <w:r w:rsidR="00A5284B" w:rsidRPr="002303E5">
        <w:t xml:space="preserve"> Each valve </w:t>
      </w:r>
      <w:r>
        <w:t>is used to reduce the particle concentration by a factor 10.</w:t>
      </w:r>
      <w:r w:rsidR="00A5284B" w:rsidRPr="002303E5">
        <w:t xml:space="preserve"> </w:t>
      </w:r>
      <w:r>
        <w:t>Using all three valves should provide a dilution ratio of 1:1000. Figure 3 shows the tank dilution system. The 10 gallon tank is filled to 30 PSI of particle free air</w:t>
      </w:r>
      <w:r w:rsidR="00CF3509">
        <w:t xml:space="preserve">, </w:t>
      </w:r>
      <w:r w:rsidR="00CF3509">
        <w:rPr>
          <w:rFonts w:eastAsiaTheme="minorEastAsia"/>
          <w:szCs w:val="24"/>
        </w:rPr>
        <w:t>which at 3 imp of flow took over 30 minutes to decrease</w:t>
      </w:r>
      <w:r>
        <w:t xml:space="preserve">. </w:t>
      </w:r>
      <w:r w:rsidR="00A5284B">
        <w:t>When</w:t>
      </w:r>
      <w:r w:rsidR="00032DCA">
        <w:t xml:space="preserve"> the flare is burning in the tube,</w:t>
      </w:r>
      <w:r w:rsidR="00A5284B">
        <w:t xml:space="preserve"> </w:t>
      </w:r>
      <w:r w:rsidR="00032DCA">
        <w:t xml:space="preserve">a </w:t>
      </w:r>
      <w:r w:rsidR="00A5284B">
        <w:t>1</w:t>
      </w:r>
      <w:r w:rsidR="00032DCA">
        <w:t>.0</w:t>
      </w:r>
      <w:r w:rsidR="00A5284B">
        <w:t xml:space="preserve"> ml</w:t>
      </w:r>
      <w:r w:rsidR="00032DCA">
        <w:t xml:space="preserve"> syringe</w:t>
      </w:r>
      <w:r w:rsidR="00A5284B">
        <w:t xml:space="preserve"> </w:t>
      </w:r>
      <w:r w:rsidR="00032DCA">
        <w:t>is used to obtain an air sample</w:t>
      </w:r>
      <w:r w:rsidR="00A5284B">
        <w:t>.</w:t>
      </w:r>
      <w:r w:rsidR="00032DCA">
        <w:t xml:space="preserve"> </w:t>
      </w:r>
      <w:r w:rsidR="00A5284B">
        <w:t xml:space="preserve"> Equation 1 gives the formula to calculate the dilution ratio for an air sample injected into a tank. </w:t>
      </w:r>
    </w:p>
    <w:p w:rsidR="006935A3" w:rsidRDefault="006935A3" w:rsidP="00745F59"/>
    <w:tbl>
      <w:tblPr>
        <w:tblStyle w:val="TableGrid"/>
        <w:tblW w:w="0" w:type="auto"/>
        <w:tblLook w:val="04A0" w:firstRow="1" w:lastRow="0" w:firstColumn="1" w:lastColumn="0" w:noHBand="0" w:noVBand="1"/>
      </w:tblPr>
      <w:tblGrid>
        <w:gridCol w:w="8508"/>
        <w:gridCol w:w="842"/>
      </w:tblGrid>
      <w:tr w:rsidR="00A5284B" w:rsidTr="006935A3">
        <w:tc>
          <w:tcPr>
            <w:tcW w:w="90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5284B" w:rsidRDefault="00A5284B" w:rsidP="001532B9">
            <m:oMathPara>
              <m:oMath>
                <m:r>
                  <m:rPr>
                    <m:sty m:val="p"/>
                  </m:rPr>
                  <w:rPr>
                    <w:rFonts w:ascii="Cambria Math" w:hAnsi="Cambria Math"/>
                  </w:rPr>
                  <m:t xml:space="preserve">Dilution Ratio= </m:t>
                </m:r>
                <m:f>
                  <m:fPr>
                    <m:ctrlPr>
                      <w:rPr>
                        <w:rFonts w:ascii="Cambria Math" w:hAnsi="Cambria Math"/>
                      </w:rPr>
                    </m:ctrlPr>
                  </m:fPr>
                  <m:num>
                    <m:r>
                      <w:rPr>
                        <w:rFonts w:ascii="Cambria Math" w:hAnsi="Cambria Math"/>
                      </w:rPr>
                      <m:t>volume</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Tank</m:t>
                    </m:r>
                  </m:num>
                  <m:den>
                    <m:r>
                      <w:rPr>
                        <w:rFonts w:ascii="Cambria Math" w:hAnsi="Cambria Math"/>
                      </w:rPr>
                      <m:t>volume</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Syringe</m:t>
                    </m:r>
                  </m:den>
                </m:f>
              </m:oMath>
            </m:oMathPara>
          </w:p>
        </w:tc>
        <w:tc>
          <w:tcPr>
            <w:tcW w:w="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5284B" w:rsidRDefault="006935A3" w:rsidP="006935A3">
            <w:pPr>
              <w:jc w:val="center"/>
            </w:pPr>
            <w:r>
              <w:t>(1)</w:t>
            </w:r>
          </w:p>
        </w:tc>
      </w:tr>
      <w:tr w:rsidR="006935A3" w:rsidTr="00E7247C">
        <w:tc>
          <w:tcPr>
            <w:tcW w:w="90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35A3" w:rsidRDefault="006935A3" w:rsidP="001532B9">
            <w:pPr>
              <w:rPr>
                <w:rFonts w:eastAsia="Calibri" w:cs="Times New Roman"/>
              </w:rPr>
            </w:pPr>
          </w:p>
        </w:tc>
        <w:tc>
          <w:tcPr>
            <w:tcW w:w="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35A3" w:rsidRDefault="006935A3" w:rsidP="001532B9"/>
        </w:tc>
      </w:tr>
    </w:tbl>
    <w:p w:rsidR="00032DCA" w:rsidRDefault="00032DCA" w:rsidP="00745F59">
      <w:pPr>
        <w:ind w:firstLine="360"/>
        <w:rPr>
          <w:color w:val="000000"/>
          <w:sz w:val="27"/>
          <w:szCs w:val="27"/>
        </w:rPr>
      </w:pPr>
      <w:r w:rsidRPr="00745F59">
        <w:t>The dilution ratio is unitless. However, it is</w:t>
      </w:r>
      <w:r w:rsidR="00A5284B" w:rsidRPr="00745F59">
        <w:t xml:space="preserve"> important to ensure that both volumes in the above equations are in the s</w:t>
      </w:r>
      <w:r w:rsidRPr="00745F59">
        <w:t>ame units even though the volumes</w:t>
      </w:r>
      <w:r w:rsidR="00A5284B" w:rsidRPr="00745F59">
        <w:t xml:space="preserve"> are diff</w:t>
      </w:r>
      <w:r w:rsidRPr="00745F59">
        <w:t>erent by many orders of magnitude</w:t>
      </w:r>
      <w:r w:rsidR="00A5284B" w:rsidRPr="00745F59">
        <w:t>, which gives a high dilution ratio</w:t>
      </w:r>
      <w:r>
        <w:rPr>
          <w:noProof/>
        </w:rPr>
        <w:t>.</w:t>
      </w:r>
      <w:r w:rsidRPr="00032DCA">
        <w:rPr>
          <w:color w:val="000000"/>
          <w:sz w:val="27"/>
          <w:szCs w:val="27"/>
        </w:rPr>
        <w:t xml:space="preserve"> </w:t>
      </w:r>
    </w:p>
    <w:p w:rsidR="00A5284B" w:rsidRPr="00CD6EBE" w:rsidRDefault="00A5284B" w:rsidP="00A5284B">
      <w:pPr>
        <w:pStyle w:val="Figure"/>
        <w:rPr>
          <w:rFonts w:cs="Times New Roman"/>
        </w:rPr>
      </w:pPr>
      <w:r w:rsidRPr="00CD6EBE">
        <w:lastRenderedPageBreak/>
        <w:drawing>
          <wp:inline distT="0" distB="0" distL="0" distR="0" wp14:anchorId="043371D9" wp14:editId="44A35292">
            <wp:extent cx="4140200" cy="3105150"/>
            <wp:effectExtent l="0" t="0" r="0" b="0"/>
            <wp:docPr id="6" name="Picture 6"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jectionSystemandChamber_18415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0721" cy="3105541"/>
                    </a:xfrm>
                    <a:prstGeom prst="rect">
                      <a:avLst/>
                    </a:prstGeom>
                  </pic:spPr>
                </pic:pic>
              </a:graphicData>
            </a:graphic>
          </wp:inline>
        </w:drawing>
      </w:r>
    </w:p>
    <w:p w:rsidR="00A5284B" w:rsidRDefault="00A5284B" w:rsidP="00A5284B">
      <w:pPr>
        <w:pStyle w:val="Figure"/>
        <w:keepNext/>
      </w:pPr>
    </w:p>
    <w:p w:rsidR="00A5284B" w:rsidRDefault="00A5284B" w:rsidP="00A5284B">
      <w:pPr>
        <w:pStyle w:val="FigureCaption"/>
      </w:pPr>
      <w:bookmarkStart w:id="2" w:name="_Ref516994135"/>
      <w:r w:rsidRPr="005D08A6">
        <w:t xml:space="preserve">Figure </w:t>
      </w:r>
      <w:fldSimple w:instr=" SEQ Figure \* ARABIC ">
        <w:r w:rsidR="00C900FB">
          <w:rPr>
            <w:noProof/>
          </w:rPr>
          <w:t>1</w:t>
        </w:r>
      </w:fldSimple>
      <w:bookmarkEnd w:id="2"/>
      <w:r w:rsidRPr="005D08A6">
        <w:t xml:space="preserve">: </w:t>
      </w:r>
      <w:r w:rsidR="00B65921">
        <w:t xml:space="preserve">The lab setup for obtaining the flare burning samples. The two blowers are </w:t>
      </w:r>
      <w:r w:rsidRPr="005D08A6">
        <w:t>attach</w:t>
      </w:r>
      <w:r w:rsidR="00673CE1">
        <w:t>ed</w:t>
      </w:r>
      <w:r w:rsidRPr="005D08A6">
        <w:t xml:space="preserve"> to the two filter boxes that </w:t>
      </w:r>
      <w:r w:rsidR="00B65921">
        <w:t>lead to the</w:t>
      </w:r>
      <w:r w:rsidRPr="005D08A6">
        <w:t xml:space="preserve"> burning tube</w:t>
      </w:r>
      <w:r w:rsidR="00B65921">
        <w:t xml:space="preserve"> that exit in the fume hood.</w:t>
      </w:r>
      <w:r w:rsidR="00673CE1">
        <w:t xml:space="preserve"> The burning tube are attached to a dilution system.</w:t>
      </w:r>
      <w:r w:rsidRPr="005D08A6">
        <w:t xml:space="preserve"> </w:t>
      </w:r>
      <w:r w:rsidR="00B65921">
        <w:t xml:space="preserve">From the </w:t>
      </w:r>
      <w:r w:rsidR="00673CE1">
        <w:t>dilution system</w:t>
      </w:r>
      <w:r w:rsidRPr="005D08A6">
        <w:t xml:space="preserve">, the particles </w:t>
      </w:r>
      <w:r w:rsidR="00B65921">
        <w:t>are sampled by a</w:t>
      </w:r>
      <w:r w:rsidRPr="005D08A6">
        <w:t xml:space="preserve"> SMPS and CPC.</w:t>
      </w:r>
    </w:p>
    <w:p w:rsidR="00A5284B" w:rsidRPr="005D08A6" w:rsidRDefault="00A5284B" w:rsidP="00A5284B">
      <w:pPr>
        <w:pStyle w:val="FigureCaption"/>
      </w:pPr>
    </w:p>
    <w:p w:rsidR="00A5284B" w:rsidRDefault="00A5284B" w:rsidP="00A5284B">
      <w:pPr>
        <w:pStyle w:val="Figure"/>
        <w:keepNext/>
      </w:pPr>
      <w:r>
        <w:drawing>
          <wp:inline distT="0" distB="0" distL="0" distR="0" wp14:anchorId="48A3827B" wp14:editId="43D1818C">
            <wp:extent cx="5810250" cy="2009775"/>
            <wp:effectExtent l="0" t="0" r="0" b="9525"/>
            <wp:docPr id="8" name="Picture 8">
              <a:extLst xmlns:a="http://schemas.openxmlformats.org/drawingml/2006/main">
                <a:ext uri="{FF2B5EF4-FFF2-40B4-BE49-F238E27FC236}">
                  <a16:creationId xmlns:a16="http://schemas.microsoft.com/office/drawing/2014/main" id="{26B2002B-4AB4-44A5-A817-5EE19BFB1B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B2002B-4AB4-44A5-A817-5EE19BFB1B07}"/>
                        </a:ext>
                      </a:extLst>
                    </pic:cNvPr>
                    <pic:cNvPicPr>
                      <a:picLocks noChangeAspect="1"/>
                    </pic:cNvPicPr>
                  </pic:nvPicPr>
                  <pic:blipFill rotWithShape="1">
                    <a:blip r:embed="rId9"/>
                    <a:srcRect l="1283" t="1810" r="962" b="2657"/>
                    <a:stretch/>
                  </pic:blipFill>
                  <pic:spPr bwMode="auto">
                    <a:xfrm>
                      <a:off x="0" y="0"/>
                      <a:ext cx="5810250" cy="2009775"/>
                    </a:xfrm>
                    <a:prstGeom prst="rect">
                      <a:avLst/>
                    </a:prstGeom>
                    <a:ln>
                      <a:noFill/>
                    </a:ln>
                    <a:extLst>
                      <a:ext uri="{53640926-AAD7-44D8-BBD7-CCE9431645EC}">
                        <a14:shadowObscured xmlns:a14="http://schemas.microsoft.com/office/drawing/2010/main"/>
                      </a:ext>
                    </a:extLst>
                  </pic:spPr>
                </pic:pic>
              </a:graphicData>
            </a:graphic>
          </wp:inline>
        </w:drawing>
      </w:r>
    </w:p>
    <w:p w:rsidR="00A5284B" w:rsidRPr="009E791F" w:rsidRDefault="00A5284B" w:rsidP="00A5284B">
      <w:pPr>
        <w:pStyle w:val="FigureCaption"/>
      </w:pPr>
    </w:p>
    <w:p w:rsidR="00A5284B" w:rsidRDefault="00A5284B" w:rsidP="00A5284B">
      <w:pPr>
        <w:pStyle w:val="FigureCaption"/>
        <w:rPr>
          <w:rFonts w:eastAsia="Times New Roman" w:cs="Times New Roman"/>
          <w:szCs w:val="24"/>
        </w:rPr>
      </w:pPr>
      <w:r>
        <w:t xml:space="preserve">Figure </w:t>
      </w:r>
      <w:fldSimple w:instr=" SEQ Figure \* ARABIC ">
        <w:r w:rsidR="003B3312">
          <w:rPr>
            <w:noProof/>
          </w:rPr>
          <w:t>2</w:t>
        </w:r>
      </w:fldSimple>
      <w:r w:rsidRPr="00745F59">
        <w:t xml:space="preserve">: </w:t>
      </w:r>
      <w:r w:rsidR="00890658" w:rsidRPr="00745F59">
        <w:t>An illustration of the valve dilution system being tested</w:t>
      </w:r>
      <w:r w:rsidR="00B65921" w:rsidRPr="00745F59">
        <w:t xml:space="preserve">. The dilution system takes air from the burning tube and provides a reduced concentration in the mixing box which is sampled by instruments such as the SMPS and CPC. The dilution system has three needle </w:t>
      </w:r>
      <w:r w:rsidR="00641980">
        <w:t>metering</w:t>
      </w:r>
      <w:r w:rsidR="00B65921" w:rsidRPr="00745F59">
        <w:t xml:space="preserve"> valves (Fine Tune Valves); two on the side and one on the top. The head of each needle valve is a stop valve</w:t>
      </w:r>
      <w:r w:rsidR="00673CE1">
        <w:t xml:space="preserve"> (Open/Close Valves)</w:t>
      </w:r>
      <w:r w:rsidR="00B65921" w:rsidRPr="00745F59">
        <w:t>.</w:t>
      </w:r>
    </w:p>
    <w:p w:rsidR="00A5284B" w:rsidRDefault="00A5284B" w:rsidP="00A5284B">
      <w:pPr>
        <w:pStyle w:val="Figure"/>
        <w:keepNext/>
      </w:pPr>
      <w:r>
        <w:lastRenderedPageBreak/>
        <w:drawing>
          <wp:inline distT="0" distB="0" distL="0" distR="0" wp14:anchorId="5763C208" wp14:editId="29179582">
            <wp:extent cx="5943600" cy="3342977"/>
            <wp:effectExtent l="0" t="0" r="0" b="0"/>
            <wp:docPr id="9" name="Picture 9"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nkDilutionSystem_Diagram_2018042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342977"/>
                    </a:xfrm>
                    <a:prstGeom prst="rect">
                      <a:avLst/>
                    </a:prstGeom>
                  </pic:spPr>
                </pic:pic>
              </a:graphicData>
            </a:graphic>
          </wp:inline>
        </w:drawing>
      </w:r>
    </w:p>
    <w:p w:rsidR="00A5284B" w:rsidRPr="00CB102F" w:rsidRDefault="00A5284B" w:rsidP="00A5284B">
      <w:pPr>
        <w:ind w:firstLine="360"/>
        <w:rPr>
          <w:rFonts w:eastAsia="Times New Roman" w:cs="Times New Roman"/>
          <w:szCs w:val="24"/>
          <w:vertAlign w:val="subscript"/>
        </w:rPr>
      </w:pPr>
    </w:p>
    <w:p w:rsidR="00A5284B" w:rsidRPr="00A22D20" w:rsidRDefault="003B3312" w:rsidP="006011F5">
      <w:pPr>
        <w:pStyle w:val="FigureCaption"/>
        <w:rPr>
          <w:rFonts w:eastAsia="Times New Roman" w:cs="Times New Roman"/>
          <w:szCs w:val="24"/>
        </w:rPr>
      </w:pPr>
      <w:r>
        <w:t xml:space="preserve">Figure </w:t>
      </w:r>
      <w:r>
        <w:fldChar w:fldCharType="begin"/>
      </w:r>
      <w:r>
        <w:instrText xml:space="preserve"> SEQ Figure \* ARABIC </w:instrText>
      </w:r>
      <w:r>
        <w:fldChar w:fldCharType="separate"/>
      </w:r>
      <w:r w:rsidR="00C900FB">
        <w:rPr>
          <w:noProof/>
        </w:rPr>
        <w:t>3</w:t>
      </w:r>
      <w:r>
        <w:rPr>
          <w:noProof/>
        </w:rPr>
        <w:fldChar w:fldCharType="end"/>
      </w:r>
      <w:r w:rsidRPr="00745F59">
        <w:t xml:space="preserve">: </w:t>
      </w:r>
      <w:r w:rsidR="00C50F67" w:rsidRPr="00745F59">
        <w:t>An illustration of the tank dilution system. The tank has a gauge for monitoring pressure. A vacuum line and compressed air filter line is attached for changing pressure within the tank. The inlet line, vacuum line, compressed air filter line, and sampling lines all have stop valves. There is an ejection port for the syringe to deposit a sample.</w:t>
      </w:r>
    </w:p>
    <w:p w:rsidR="00592723" w:rsidRPr="00592723" w:rsidRDefault="00A5284B" w:rsidP="00745F59">
      <w:pPr>
        <w:pStyle w:val="Heading1"/>
      </w:pPr>
      <w:r>
        <w:t>Results and Discussion</w:t>
      </w:r>
    </w:p>
    <w:p w:rsidR="00745F59" w:rsidRDefault="00592723" w:rsidP="00745F59">
      <w:pPr>
        <w:pStyle w:val="Figure"/>
        <w:keepNext/>
        <w:ind w:firstLine="346"/>
        <w:jc w:val="both"/>
      </w:pPr>
      <w:r w:rsidRPr="00745F59">
        <w:t>To test the dilution system, the two blowers without the filter boxes are used, produc</w:t>
      </w:r>
      <w:r w:rsidR="00C51A08">
        <w:t>ing</w:t>
      </w:r>
      <w:r w:rsidRPr="00745F59">
        <w:t xml:space="preserve"> an air flow of 56.2 knots. Figure 4 shows the two blowers without filter boxes produce a lot of small particles that decrease in concentration with increasing particle size.</w:t>
      </w:r>
      <w:r w:rsidR="007B12C4">
        <w:t xml:space="preserve"> </w:t>
      </w:r>
      <w:r w:rsidR="007B12C4" w:rsidRPr="00745F59">
        <w:t xml:space="preserve">The CPC started to count the diameter of the size distribution at </w:t>
      </w:r>
      <w:r w:rsidR="00C51A08">
        <w:t>3</w:t>
      </w:r>
      <w:r w:rsidR="007B12C4" w:rsidRPr="00745F59">
        <w:t xml:space="preserve"> nm. </w:t>
      </w:r>
      <w:r w:rsidRPr="00745F59">
        <w:t xml:space="preserve">The concentration of particles on the CPC were stabilized </w:t>
      </w:r>
      <w:r w:rsidRPr="00745F59">
        <w:lastRenderedPageBreak/>
        <w:t>and consistent</w:t>
      </w:r>
      <w:r w:rsidR="00C51A08">
        <w:t xml:space="preserve"> before</w:t>
      </w:r>
      <w:r w:rsidRPr="00745F59">
        <w:t xml:space="preserve"> the size distribution was collected. The log normalized concentration changes from</w:t>
      </w:r>
      <w:r w:rsidR="00F23EDE">
        <w:t xml:space="preserve"> about</w:t>
      </w:r>
      <w:r w:rsidRPr="00745F59">
        <w:t xml:space="preserve"> 100,000 particles at a diameter of </w:t>
      </w:r>
      <w:r w:rsidR="00F23EDE">
        <w:t>5</w:t>
      </w:r>
      <w:r w:rsidRPr="00745F59">
        <w:t xml:space="preserve"> nm to 1,000 particles at 60 nm</w:t>
      </w:r>
      <w:r w:rsidR="007B12C4">
        <w:t xml:space="preserve"> (Figure 4)</w:t>
      </w:r>
      <w:r w:rsidRPr="00745F59">
        <w:t>.</w:t>
      </w:r>
    </w:p>
    <w:p w:rsidR="00A5284B" w:rsidRDefault="00A5284B" w:rsidP="00745F59">
      <w:pPr>
        <w:pStyle w:val="Figure"/>
        <w:keepNext/>
        <w:ind w:firstLine="346"/>
        <w:jc w:val="both"/>
      </w:pPr>
      <w:r>
        <w:rPr>
          <w:rFonts w:ascii="Arial" w:hAnsi="Arial" w:cs="Arial"/>
          <w:color w:val="000000"/>
          <w:sz w:val="22"/>
        </w:rPr>
        <w:drawing>
          <wp:inline distT="0" distB="0" distL="0" distR="0" wp14:anchorId="4EB3A05A" wp14:editId="5C1B8ECF">
            <wp:extent cx="6257925" cy="2848939"/>
            <wp:effectExtent l="0" t="0" r="0" b="8890"/>
            <wp:docPr id="1" name="Picture 1" descr="https://lh5.googleusercontent.com/wclsehg5ycxnb_Bgg2NqY0XrhZgo-HcLo5HWTahHS3yQRPOm-JEAotHPt8G9DaecTyCsE7bsWPuHU_OCQgN_VAgQHB1SbuskKv5L7dsBbsRCiJgXJXYhvGrcZYcenAvwa4EYdt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clsehg5ycxnb_Bgg2NqY0XrhZgo-HcLo5HWTahHS3yQRPOm-JEAotHPt8G9DaecTyCsE7bsWPuHU_OCQgN_VAgQHB1SbuskKv5L7dsBbsRCiJgXJXYhvGrcZYcenAvwa4EYdt_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5680" cy="2866127"/>
                    </a:xfrm>
                    <a:prstGeom prst="rect">
                      <a:avLst/>
                    </a:prstGeom>
                    <a:noFill/>
                    <a:ln>
                      <a:noFill/>
                    </a:ln>
                  </pic:spPr>
                </pic:pic>
              </a:graphicData>
            </a:graphic>
          </wp:inline>
        </w:drawing>
      </w:r>
    </w:p>
    <w:p w:rsidR="000D1051" w:rsidRDefault="00A5284B" w:rsidP="00592723">
      <w:pPr>
        <w:pStyle w:val="FigureCaption"/>
      </w:pPr>
      <w:r w:rsidRPr="000D1051">
        <w:t xml:space="preserve">Figure 4:  Size distribution </w:t>
      </w:r>
      <w:r w:rsidR="00C50F67" w:rsidRPr="000D1051">
        <w:t>of particles produced by the blowers measured on November 2nd, 2017 using a SMPS with a model 3775 CPC</w:t>
      </w:r>
      <w:r w:rsidRPr="000D1051">
        <w:t xml:space="preserve">. </w:t>
      </w:r>
      <w:r w:rsidR="00C50F67" w:rsidRPr="000D1051">
        <w:t>The x-axis has the diameter of particles in nm starting at 3 nm and the y-axis has the concentration of particles</w:t>
      </w:r>
      <w:r w:rsidR="00AE5685">
        <w:t xml:space="preserve"> in</w:t>
      </w:r>
      <w:r w:rsidR="008629DF">
        <w:t xml:space="preserve"> # cm</w:t>
      </w:r>
      <w:r w:rsidR="008629DF" w:rsidRPr="008629DF">
        <w:rPr>
          <w:vertAlign w:val="superscript"/>
        </w:rPr>
        <w:t>-3</w:t>
      </w:r>
      <w:r w:rsidR="00592723">
        <w:t>.</w:t>
      </w:r>
    </w:p>
    <w:p w:rsidR="00745F59" w:rsidRDefault="00745F59" w:rsidP="00592723">
      <w:pPr>
        <w:pStyle w:val="FigureCaption"/>
      </w:pPr>
    </w:p>
    <w:p w:rsidR="00745F59" w:rsidRDefault="00745F59" w:rsidP="00745F59">
      <w:pPr>
        <w:rPr>
          <w:rFonts w:ascii="Cambria" w:eastAsia="Times New Roman" w:hAnsi="Cambria" w:cs="Times New Roman"/>
          <w:color w:val="000000"/>
        </w:rPr>
      </w:pPr>
      <w:r>
        <w:t>Figure 5 shows the size distribution of the sample with both filter boxes and</w:t>
      </w:r>
      <w:r w:rsidR="00935D6F">
        <w:t xml:space="preserve"> the</w:t>
      </w:r>
      <w:r>
        <w:t xml:space="preserve"> blowers. The CPC started to count the diameter of the size distribution at </w:t>
      </w:r>
      <w:r w:rsidR="00E327E1">
        <w:t>10</w:t>
      </w:r>
      <w:r>
        <w:t xml:space="preserve"> nm</w:t>
      </w:r>
      <w:r w:rsidR="007B12C4">
        <w:t xml:space="preserve"> in Figure 5</w:t>
      </w:r>
      <w:r>
        <w:t>. The concentration is less than without the filter boxes (Figure 4) with concentrations between 10 to 1,000</w:t>
      </w:r>
      <w:r w:rsidR="00086C75">
        <w:rPr>
          <w:noProof/>
        </w:rPr>
        <w:t xml:space="preserve"> # cm</w:t>
      </w:r>
      <w:r w:rsidR="00086C75" w:rsidRPr="00086C75">
        <w:rPr>
          <w:noProof/>
          <w:vertAlign w:val="superscript"/>
        </w:rPr>
        <w:t>-3</w:t>
      </w:r>
      <w:r>
        <w:rPr>
          <w:rFonts w:eastAsiaTheme="minorEastAsia"/>
        </w:rPr>
        <w:t xml:space="preserve">. Small diameter particles have higher concentration than larger diameter particles. Without the filter boxes, there </w:t>
      </w:r>
      <w:r w:rsidR="00E327E1">
        <w:rPr>
          <w:rFonts w:eastAsiaTheme="minorEastAsia"/>
        </w:rPr>
        <w:t>are</w:t>
      </w:r>
      <w:r>
        <w:rPr>
          <w:rFonts w:eastAsiaTheme="minorEastAsia"/>
        </w:rPr>
        <w:t xml:space="preserve"> approximately 20,000</w:t>
      </w:r>
      <w:r w:rsidR="00086C75">
        <w:rPr>
          <w:noProof/>
        </w:rPr>
        <w:t xml:space="preserve"> #</w:t>
      </w:r>
      <w:r w:rsidR="00E7247C">
        <w:rPr>
          <w:noProof/>
        </w:rPr>
        <w:t xml:space="preserve"> </w:t>
      </w:r>
      <w:r w:rsidR="00086C75">
        <w:rPr>
          <w:noProof/>
        </w:rPr>
        <w:t>cm</w:t>
      </w:r>
      <w:r w:rsidR="00086C75" w:rsidRPr="00086C75">
        <w:rPr>
          <w:noProof/>
          <w:vertAlign w:val="superscript"/>
        </w:rPr>
        <w:t>-3</w:t>
      </w:r>
      <w:r w:rsidR="00086C75">
        <w:rPr>
          <w:noProof/>
        </w:rPr>
        <w:t xml:space="preserve"> </w:t>
      </w:r>
      <w:r>
        <w:rPr>
          <w:rFonts w:eastAsiaTheme="minorEastAsia"/>
        </w:rPr>
        <w:t>at 20 nm, while with filter boxes, there</w:t>
      </w:r>
      <w:r w:rsidR="00E327E1">
        <w:rPr>
          <w:rFonts w:eastAsiaTheme="minorEastAsia"/>
        </w:rPr>
        <w:t xml:space="preserve"> are</w:t>
      </w:r>
      <w:r>
        <w:rPr>
          <w:rFonts w:eastAsiaTheme="minorEastAsia"/>
        </w:rPr>
        <w:t xml:space="preserve"> approximately 200</w:t>
      </w:r>
      <w:r w:rsidR="00086C75">
        <w:rPr>
          <w:noProof/>
        </w:rPr>
        <w:t xml:space="preserve"> # cm</w:t>
      </w:r>
      <w:r w:rsidR="00086C75" w:rsidRPr="00086C75">
        <w:rPr>
          <w:noProof/>
          <w:vertAlign w:val="superscript"/>
        </w:rPr>
        <w:t>-3</w:t>
      </w:r>
      <w:r>
        <w:rPr>
          <w:rFonts w:eastAsiaTheme="minorEastAsia"/>
        </w:rPr>
        <w:t xml:space="preserve"> at 20 nm. This is</w:t>
      </w:r>
      <w:r w:rsidR="00935D6F">
        <w:rPr>
          <w:rFonts w:eastAsiaTheme="minorEastAsia"/>
        </w:rPr>
        <w:t xml:space="preserve"> a two </w:t>
      </w:r>
      <w:r>
        <w:rPr>
          <w:rFonts w:eastAsiaTheme="minorEastAsia"/>
        </w:rPr>
        <w:t>order</w:t>
      </w:r>
      <w:r w:rsidR="00AE5685">
        <w:rPr>
          <w:rFonts w:eastAsiaTheme="minorEastAsia"/>
        </w:rPr>
        <w:t xml:space="preserve"> difference</w:t>
      </w:r>
      <w:r>
        <w:rPr>
          <w:rFonts w:eastAsiaTheme="minorEastAsia"/>
        </w:rPr>
        <w:t xml:space="preserve"> </w:t>
      </w:r>
      <w:r w:rsidR="00AE5685">
        <w:rPr>
          <w:rFonts w:eastAsiaTheme="minorEastAsia"/>
        </w:rPr>
        <w:t>in</w:t>
      </w:r>
      <w:r>
        <w:rPr>
          <w:rFonts w:eastAsiaTheme="minorEastAsia"/>
        </w:rPr>
        <w:t xml:space="preserve"> magnitude decrease. Hence, the filter boxes are effectively removing some of the particles produced by the blowers. </w:t>
      </w:r>
      <w:r>
        <w:rPr>
          <w:rFonts w:ascii="Cambria" w:eastAsia="Times New Roman" w:hAnsi="Cambria" w:cs="Times New Roman"/>
          <w:color w:val="000000"/>
        </w:rPr>
        <w:t xml:space="preserve"> </w:t>
      </w:r>
    </w:p>
    <w:p w:rsidR="00745F59" w:rsidRPr="000D1051" w:rsidRDefault="00745F59" w:rsidP="00592723">
      <w:pPr>
        <w:pStyle w:val="FigureCaption"/>
      </w:pPr>
    </w:p>
    <w:p w:rsidR="00A5284B" w:rsidRDefault="00A5284B" w:rsidP="00A5284B">
      <w:pPr>
        <w:pStyle w:val="Figure"/>
        <w:rPr>
          <w:rFonts w:asciiTheme="majorHAnsi" w:hAnsiTheme="majorHAnsi"/>
          <w:szCs w:val="24"/>
        </w:rPr>
      </w:pPr>
      <w:r w:rsidRPr="006E148F">
        <w:lastRenderedPageBreak/>
        <w:drawing>
          <wp:inline distT="0" distB="0" distL="0" distR="0" wp14:anchorId="28428D8B" wp14:editId="1C3CC805">
            <wp:extent cx="5943600" cy="3162300"/>
            <wp:effectExtent l="0" t="0" r="0" b="0"/>
            <wp:docPr id="3" name="Picture 3" descr="https://lh4.googleusercontent.com/_3bTcWC_WHLBUXEAaEedXIEhppRFVM9t5ziTf84AoIIdL4fzSLCLrCh5nBKP89fLtQV-zLGwb1Hs_7frgnCSwplUQg3AsBFVZengakYQYSUzaXl9kkRYLFw5eneRi86EkwqoT7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_3bTcWC_WHLBUXEAaEedXIEhppRFVM9t5ziTf84AoIIdL4fzSLCLrCh5nBKP89fLtQV-zLGwb1Hs_7frgnCSwplUQg3AsBFVZengakYQYSUzaXl9kkRYLFw5eneRi86EkwqoT7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rsidR="00A5284B" w:rsidRPr="00AE5685" w:rsidRDefault="00A5284B" w:rsidP="00A5284B">
      <w:pPr>
        <w:pStyle w:val="FigureCaption"/>
      </w:pPr>
      <w:r w:rsidRPr="006E148F">
        <w:t xml:space="preserve">Figure </w:t>
      </w:r>
      <w:r>
        <w:t>5</w:t>
      </w:r>
      <w:r w:rsidRPr="00AE5685">
        <w:t xml:space="preserve">: </w:t>
      </w:r>
      <w:r w:rsidR="00AE5685" w:rsidRPr="00AE5685">
        <w:t>The size distribution measured using a SMPS and model 3772 CPC obtained on November 7th, 2017 with filter boxes used to reduce the particle concentration from the blowers. The x-axis is the diameter of particles in nm starting at 10 nm and</w:t>
      </w:r>
      <w:r w:rsidR="00AE5685">
        <w:t xml:space="preserve"> </w:t>
      </w:r>
      <w:r w:rsidR="00AE5685" w:rsidRPr="00AE5685">
        <w:t>the y-axis is the normalized concentration.</w:t>
      </w:r>
    </w:p>
    <w:p w:rsidR="00A5284B" w:rsidRDefault="00A5284B" w:rsidP="00A5284B">
      <w:pPr>
        <w:pStyle w:val="ListParagraph"/>
        <w:ind w:left="360" w:firstLine="360"/>
        <w:rPr>
          <w:rFonts w:asciiTheme="majorHAnsi" w:hAnsiTheme="majorHAnsi"/>
          <w:sz w:val="20"/>
          <w:szCs w:val="24"/>
        </w:rPr>
      </w:pPr>
    </w:p>
    <w:p w:rsidR="00AE5685" w:rsidRDefault="00745F59" w:rsidP="00AE5685">
      <w:r w:rsidRPr="00054D6E">
        <w:t xml:space="preserve">Figure </w:t>
      </w:r>
      <w:r>
        <w:t>6</w:t>
      </w:r>
      <w:r w:rsidRPr="00054D6E">
        <w:t xml:space="preserve"> </w:t>
      </w:r>
      <w:r>
        <w:t>shows the concentration when testing the valve dilution system with both blowers and filter boxes operating</w:t>
      </w:r>
      <w:r w:rsidRPr="00054D6E">
        <w:t xml:space="preserve">. </w:t>
      </w:r>
      <w:r>
        <w:t xml:space="preserve">The </w:t>
      </w:r>
      <w:r w:rsidR="00641980">
        <w:t>metering</w:t>
      </w:r>
      <w:r>
        <w:t xml:space="preserve"> valve </w:t>
      </w:r>
      <w:r w:rsidR="00AE5685">
        <w:t>has</w:t>
      </w:r>
      <w:r>
        <w:t xml:space="preserve"> mix</w:t>
      </w:r>
      <w:r w:rsidR="00AE5685">
        <w:t>ed</w:t>
      </w:r>
      <w:r>
        <w:t xml:space="preserve"> in sufficient filter air to reduce the concentration from about a 1 to 10 to 1 to 100 </w:t>
      </w:r>
      <w:r w:rsidR="00BB362E">
        <w:t xml:space="preserve">dilution </w:t>
      </w:r>
      <w:r>
        <w:t>ratio. In Figure 6, 62,000</w:t>
      </w:r>
      <w:r w:rsidR="00086C75">
        <w:rPr>
          <w:noProof/>
        </w:rPr>
        <w:t xml:space="preserve"> # cm</w:t>
      </w:r>
      <w:r w:rsidR="00086C75" w:rsidRPr="00086C75">
        <w:rPr>
          <w:noProof/>
          <w:vertAlign w:val="superscript"/>
        </w:rPr>
        <w:t>-3</w:t>
      </w:r>
      <w:r w:rsidR="00086C75">
        <w:rPr>
          <w:noProof/>
        </w:rPr>
        <w:t xml:space="preserve"> </w:t>
      </w:r>
      <w:r>
        <w:rPr>
          <w:rFonts w:eastAsiaTheme="minorEastAsia"/>
        </w:rPr>
        <w:t>is the total concentration, and a 6,200</w:t>
      </w:r>
      <w:r w:rsidRPr="00D96130">
        <w:rPr>
          <w:color w:val="000000"/>
          <w:sz w:val="27"/>
          <w:szCs w:val="27"/>
        </w:rPr>
        <w:t>±</w:t>
      </w:r>
      <w:r>
        <w:rPr>
          <w:color w:val="000000"/>
          <w:sz w:val="27"/>
          <w:szCs w:val="27"/>
        </w:rPr>
        <w:t>300</w:t>
      </w:r>
      <w:r>
        <w:rPr>
          <w:rFonts w:eastAsiaTheme="minorEastAsia"/>
        </w:rPr>
        <w:t xml:space="preserve"> </w:t>
      </w:r>
      <w:r w:rsidR="00086C75">
        <w:rPr>
          <w:noProof/>
        </w:rPr>
        <w:t># cm</w:t>
      </w:r>
      <w:r w:rsidR="00086C75" w:rsidRPr="00086C75">
        <w:rPr>
          <w:noProof/>
          <w:vertAlign w:val="superscript"/>
        </w:rPr>
        <w:t>-3</w:t>
      </w:r>
      <w:r>
        <w:rPr>
          <w:rFonts w:eastAsiaTheme="minorEastAsia"/>
        </w:rPr>
        <w:t xml:space="preserve"> the amount factored by 10.  </w:t>
      </w:r>
      <w:r w:rsidR="00AE5685">
        <w:t>Likewise,</w:t>
      </w:r>
      <w:r>
        <w:t xml:space="preserve"> the second </w:t>
      </w:r>
      <w:r w:rsidR="00641980">
        <w:t xml:space="preserve">metering </w:t>
      </w:r>
      <w:r>
        <w:t xml:space="preserve">valve </w:t>
      </w:r>
      <w:r w:rsidR="00641980">
        <w:t>have</w:t>
      </w:r>
      <w:r>
        <w:t xml:space="preserve"> reduce</w:t>
      </w:r>
      <w:r w:rsidR="00641980">
        <w:t>d</w:t>
      </w:r>
      <w:r>
        <w:t xml:space="preserve"> the concentration by a factor of 10. The combination of the two valve</w:t>
      </w:r>
      <w:r w:rsidR="00AE5685">
        <w:t>s should have</w:t>
      </w:r>
      <w:r>
        <w:t xml:space="preserve"> reduce</w:t>
      </w:r>
      <w:r w:rsidR="00AE5685">
        <w:t>d</w:t>
      </w:r>
      <w:r>
        <w:t xml:space="preserve"> the concentration sufficiently more than a factor of 100. Such a large decrease is difficult to achieve and maintain using the valve system to obtain high dilution ratios. Figure 6 shows the concentration decreasing to almost zero particles. Additionally, the </w:t>
      </w:r>
      <w:r w:rsidR="00AE5685">
        <w:t xml:space="preserve">two </w:t>
      </w:r>
      <w:r w:rsidR="00641980">
        <w:t>metering</w:t>
      </w:r>
      <w:r>
        <w:t xml:space="preserve"> valves </w:t>
      </w:r>
      <w:r w:rsidR="00AE5685">
        <w:t>must</w:t>
      </w:r>
      <w:r>
        <w:t xml:space="preserve"> be fine-tuned to produce the 1 to 10</w:t>
      </w:r>
      <w:r w:rsidR="00AE5685">
        <w:t>0</w:t>
      </w:r>
      <w:r>
        <w:t xml:space="preserve"> dilution ratio, which is time consuming. Overall, the valve dilution system took approximately 2.5 hours to adjust (Figure 6).</w:t>
      </w:r>
      <w:r w:rsidRPr="00054D6E">
        <w:t xml:space="preserve"> </w:t>
      </w:r>
    </w:p>
    <w:p w:rsidR="00A5284B" w:rsidRDefault="008B68ED" w:rsidP="006E005D">
      <w:pPr>
        <w:pStyle w:val="Figure"/>
        <w:rPr>
          <w:rFonts w:ascii="Cambria" w:eastAsia="Times New Roman" w:hAnsi="Cambria" w:cs="Times New Roman"/>
          <w:color w:val="000000"/>
        </w:rPr>
      </w:pPr>
      <w:r w:rsidRPr="00745F59">
        <w:lastRenderedPageBreak/>
        <w:drawing>
          <wp:inline distT="0" distB="0" distL="0" distR="0" wp14:anchorId="51B80580" wp14:editId="05EC179D">
            <wp:extent cx="5943600" cy="3313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13430"/>
                    </a:xfrm>
                    <a:prstGeom prst="rect">
                      <a:avLst/>
                    </a:prstGeom>
                  </pic:spPr>
                </pic:pic>
              </a:graphicData>
            </a:graphic>
          </wp:inline>
        </w:drawing>
      </w:r>
    </w:p>
    <w:p w:rsidR="00A07B0A" w:rsidRPr="00AE5685" w:rsidRDefault="00A07B0A" w:rsidP="006E005D">
      <w:pPr>
        <w:pStyle w:val="Figure"/>
        <w:rPr>
          <w:rFonts w:ascii="Cambria" w:eastAsia="Times New Roman" w:hAnsi="Cambria" w:cs="Times New Roman"/>
          <w:color w:val="000000"/>
        </w:rPr>
      </w:pPr>
    </w:p>
    <w:p w:rsidR="00A5284B" w:rsidRDefault="00A5284B" w:rsidP="00F7313C">
      <w:pPr>
        <w:pStyle w:val="FigureCaption"/>
      </w:pPr>
      <w:r w:rsidRPr="00745F59">
        <w:t xml:space="preserve">Figure 6: </w:t>
      </w:r>
      <w:r w:rsidR="003D5917" w:rsidRPr="00745F59">
        <w:t>A time series plot of the CPC (model 3775) concentration obtain while testing the valve dilution system. The decreasing concentration is due to adjustment of the val</w:t>
      </w:r>
      <w:r w:rsidR="00F7313C">
        <w:t>v</w:t>
      </w:r>
      <w:r w:rsidR="003D5917" w:rsidRPr="00745F59">
        <w:t>es. Once a 1</w:t>
      </w:r>
      <w:r w:rsidR="00F7313C">
        <w:t>:</w:t>
      </w:r>
      <w:r w:rsidR="003D5917" w:rsidRPr="00745F59">
        <w:t xml:space="preserve">10 dilution ratio </w:t>
      </w:r>
      <w:r w:rsidR="00F7313C">
        <w:t xml:space="preserve">was </w:t>
      </w:r>
      <w:r w:rsidR="003D5917" w:rsidRPr="00745F59">
        <w:t>obtain</w:t>
      </w:r>
      <w:r w:rsidR="00F7313C">
        <w:t>ed</w:t>
      </w:r>
      <w:r w:rsidR="003D5917" w:rsidRPr="00745F59">
        <w:t xml:space="preserve">, the concentration </w:t>
      </w:r>
      <w:r w:rsidR="00F7313C">
        <w:t>was</w:t>
      </w:r>
      <w:r w:rsidR="003D5917" w:rsidRPr="00745F59">
        <w:t xml:space="preserve"> sampled to determine how stable it is. After 17:30</w:t>
      </w:r>
      <w:r w:rsidR="00F7313C">
        <w:t>,</w:t>
      </w:r>
      <w:r w:rsidR="003D5917" w:rsidRPr="00745F59">
        <w:t xml:space="preserve"> both stop val</w:t>
      </w:r>
      <w:r w:rsidR="00F7313C">
        <w:t>v</w:t>
      </w:r>
      <w:r w:rsidR="003D5917" w:rsidRPr="00745F59">
        <w:t>es are open</w:t>
      </w:r>
      <w:r w:rsidR="00F7313C">
        <w:t>ed</w:t>
      </w:r>
      <w:r w:rsidR="003D5917" w:rsidRPr="00745F59">
        <w:t xml:space="preserve"> to sample the combined dilution of both valves.</w:t>
      </w:r>
    </w:p>
    <w:p w:rsidR="00F7313C" w:rsidRPr="006E148F" w:rsidRDefault="00F7313C" w:rsidP="00F7313C">
      <w:pPr>
        <w:pStyle w:val="FigureCaption"/>
      </w:pPr>
    </w:p>
    <w:p w:rsidR="00A07B0A" w:rsidRDefault="006C5599" w:rsidP="008C190F">
      <w:r>
        <w:t xml:space="preserve">Equation 2 provides the numerical values applied to </w:t>
      </w:r>
      <w:r w:rsidR="00E44234">
        <w:t>E</w:t>
      </w:r>
      <w:r w:rsidR="00A5284B">
        <w:t>quation 1</w:t>
      </w:r>
      <w:r>
        <w:t xml:space="preserve"> for a 10 gallon tank.</w:t>
      </w:r>
    </w:p>
    <w:p w:rsidR="008C190F" w:rsidRDefault="008C190F"/>
    <w:tbl>
      <w:tblPr>
        <w:tblStyle w:val="TableGrid"/>
        <w:tblW w:w="0" w:type="auto"/>
        <w:jc w:val="center"/>
        <w:tblLook w:val="04A0" w:firstRow="1" w:lastRow="0" w:firstColumn="1" w:lastColumn="0" w:noHBand="0" w:noVBand="1"/>
      </w:tblPr>
      <w:tblGrid>
        <w:gridCol w:w="8099"/>
        <w:gridCol w:w="842"/>
      </w:tblGrid>
      <w:tr w:rsidR="008C190F" w:rsidTr="008C190F">
        <w:trPr>
          <w:jc w:val="center"/>
        </w:trPr>
        <w:tc>
          <w:tcPr>
            <w:tcW w:w="8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190F" w:rsidRDefault="008C190F" w:rsidP="001532B9">
            <m:oMathPara>
              <m:oMath>
                <m:r>
                  <m:rPr>
                    <m:sty m:val="p"/>
                  </m:rPr>
                  <w:rPr>
                    <w:rFonts w:ascii="Cambria Math" w:hAnsi="Cambria Math"/>
                  </w:rPr>
                  <m:t>10 gallon tank=</m:t>
                </m:r>
                <m:f>
                  <m:fPr>
                    <m:ctrlPr>
                      <w:rPr>
                        <w:rFonts w:ascii="Cambria Math" w:hAnsi="Cambria Math"/>
                      </w:rPr>
                    </m:ctrlPr>
                  </m:fPr>
                  <m:num>
                    <m:r>
                      <w:rPr>
                        <w:rFonts w:ascii="Cambria Math" w:hAnsi="Cambria Math"/>
                      </w:rPr>
                      <m:t>3,785.41 ml</m:t>
                    </m:r>
                  </m:num>
                  <m:den>
                    <m:r>
                      <w:rPr>
                        <w:rFonts w:ascii="Cambria Math" w:hAnsi="Cambria Math"/>
                      </w:rPr>
                      <m:t>1 gallon</m:t>
                    </m:r>
                  </m:den>
                </m:f>
                <m:r>
                  <m:rPr>
                    <m:sty m:val="p"/>
                  </m:rPr>
                  <w:rPr>
                    <w:rFonts w:ascii="Cambria Math" w:hAnsi="Cambria Math"/>
                  </w:rPr>
                  <m:t>=</m:t>
                </m:r>
                <m:f>
                  <m:fPr>
                    <m:ctrlPr>
                      <w:rPr>
                        <w:rFonts w:ascii="Cambria Math" w:hAnsi="Cambria Math"/>
                      </w:rPr>
                    </m:ctrlPr>
                  </m:fPr>
                  <m:num>
                    <m:r>
                      <m:rPr>
                        <m:sty m:val="p"/>
                      </m:rPr>
                      <w:rPr>
                        <w:rFonts w:ascii="Cambria Math" w:hAnsi="Cambria Math"/>
                      </w:rPr>
                      <m:t xml:space="preserve">37,854.1 </m:t>
                    </m:r>
                    <m:r>
                      <w:rPr>
                        <w:rFonts w:ascii="Cambria Math" w:hAnsi="Cambria Math"/>
                      </w:rPr>
                      <m:t>ml</m:t>
                    </m:r>
                  </m:num>
                  <m:den>
                    <m:r>
                      <w:rPr>
                        <w:rFonts w:ascii="Cambria Math" w:hAnsi="Cambria Math"/>
                      </w:rPr>
                      <m:t>1 ml</m:t>
                    </m:r>
                  </m:den>
                </m:f>
                <m:r>
                  <m:rPr>
                    <m:sty m:val="p"/>
                  </m:rPr>
                  <w:rPr>
                    <w:rFonts w:ascii="Cambria Math" w:hAnsi="Cambria Math"/>
                  </w:rPr>
                  <m:t>=3.8*</m:t>
                </m:r>
                <m:sSup>
                  <m:sSupPr>
                    <m:ctrlPr>
                      <w:rPr>
                        <w:rFonts w:ascii="Cambria Math" w:hAnsi="Cambria Math"/>
                      </w:rPr>
                    </m:ctrlPr>
                  </m:sSupPr>
                  <m:e>
                    <m:r>
                      <m:rPr>
                        <m:sty m:val="p"/>
                      </m:rPr>
                      <w:rPr>
                        <w:rFonts w:ascii="Cambria Math" w:hAnsi="Cambria Math"/>
                      </w:rPr>
                      <m:t>10</m:t>
                    </m:r>
                  </m:e>
                  <m:sup>
                    <m:r>
                      <w:rPr>
                        <w:rFonts w:ascii="Cambria Math" w:hAnsi="Cambria Math"/>
                      </w:rPr>
                      <m:t>4</m:t>
                    </m:r>
                  </m:sup>
                </m:sSup>
              </m:oMath>
            </m:oMathPara>
          </w:p>
        </w:tc>
        <w:tc>
          <w:tcPr>
            <w:tcW w:w="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C190F" w:rsidRDefault="008C190F" w:rsidP="008C190F">
            <w:pPr>
              <w:jc w:val="center"/>
            </w:pPr>
            <w:r>
              <w:t>(2)</w:t>
            </w:r>
          </w:p>
        </w:tc>
      </w:tr>
      <w:tr w:rsidR="008C190F" w:rsidTr="008C190F">
        <w:trPr>
          <w:jc w:val="center"/>
        </w:trPr>
        <w:tc>
          <w:tcPr>
            <w:tcW w:w="8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190F" w:rsidRDefault="008C190F" w:rsidP="001532B9">
            <w:pPr>
              <w:rPr>
                <w:rFonts w:eastAsia="Calibri" w:cs="Times New Roman"/>
              </w:rPr>
            </w:pPr>
          </w:p>
        </w:tc>
        <w:tc>
          <w:tcPr>
            <w:tcW w:w="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C190F" w:rsidRDefault="008C190F" w:rsidP="001532B9"/>
        </w:tc>
      </w:tr>
    </w:tbl>
    <w:p w:rsidR="00D06305" w:rsidRDefault="006C5599" w:rsidP="00086C75">
      <w:pPr>
        <w:rPr>
          <w:noProof/>
        </w:rPr>
      </w:pPr>
      <w:r w:rsidRPr="006C5599">
        <w:t>Using the full 1</w:t>
      </w:r>
      <w:r w:rsidR="00F7313C">
        <w:t>.0</w:t>
      </w:r>
      <w:r w:rsidRPr="006C5599">
        <w:t xml:space="preserve"> ml collected by the syringe gives a </w:t>
      </w:r>
      <m:oMath>
        <m:r>
          <m:rPr>
            <m:sty m:val="p"/>
          </m:rPr>
          <w:rPr>
            <w:rFonts w:ascii="Cambria Math" w:hAnsi="Cambria Math"/>
          </w:rPr>
          <m:t>3.8*</m:t>
        </m:r>
        <m:sSup>
          <m:sSupPr>
            <m:ctrlPr>
              <w:rPr>
                <w:rFonts w:ascii="Cambria Math" w:hAnsi="Cambria Math"/>
              </w:rPr>
            </m:ctrlPr>
          </m:sSupPr>
          <m:e>
            <m:r>
              <m:rPr>
                <m:sty m:val="p"/>
              </m:rPr>
              <w:rPr>
                <w:rFonts w:ascii="Cambria Math" w:hAnsi="Cambria Math"/>
              </w:rPr>
              <m:t>10</m:t>
            </m:r>
          </m:e>
          <m:sup>
            <m:r>
              <w:rPr>
                <w:rFonts w:ascii="Cambria Math" w:hAnsi="Cambria Math"/>
              </w:rPr>
              <m:t>4</m:t>
            </m:r>
          </m:sup>
        </m:sSup>
      </m:oMath>
      <w:r>
        <w:rPr>
          <w:rFonts w:eastAsiaTheme="minorEastAsia"/>
        </w:rPr>
        <w:t xml:space="preserve"> </w:t>
      </w:r>
      <w:r w:rsidRPr="006C5599">
        <w:t>dilution</w:t>
      </w:r>
      <w:r>
        <w:t xml:space="preserve"> ratio</w:t>
      </w:r>
      <w:r w:rsidRPr="006C5599">
        <w:t xml:space="preserve">. The dilution ratio can be increased by decreasing the volume of the syringe used or increasing the tank size. </w:t>
      </w:r>
      <w:r w:rsidR="00A5284B" w:rsidRPr="006C5599">
        <w:t>For example</w:t>
      </w:r>
      <w:r w:rsidR="00A5284B">
        <w:t xml:space="preserve">, </w:t>
      </w:r>
      <w:r w:rsidR="00A5284B">
        <w:rPr>
          <w:rFonts w:eastAsiaTheme="minorEastAsia"/>
          <w:szCs w:val="24"/>
        </w:rPr>
        <w:t>if 1</w:t>
      </w:r>
      <w:r w:rsidR="00F7313C">
        <w:rPr>
          <w:rFonts w:eastAsiaTheme="minorEastAsia"/>
          <w:szCs w:val="24"/>
        </w:rPr>
        <w:t>.0</w:t>
      </w:r>
      <w:r w:rsidR="00A5284B">
        <w:rPr>
          <w:rFonts w:eastAsiaTheme="minorEastAsia"/>
          <w:szCs w:val="24"/>
        </w:rPr>
        <w:t xml:space="preserve"> ml of the syringe is changed to tenths, the dilution ratio would increase</w:t>
      </w:r>
      <w:r w:rsidR="00F7313C">
        <w:rPr>
          <w:rFonts w:eastAsiaTheme="minorEastAsia"/>
          <w:szCs w:val="24"/>
        </w:rPr>
        <w:t xml:space="preserve"> </w:t>
      </w:r>
      <w:r w:rsidR="00A5284B">
        <w:rPr>
          <w:rFonts w:eastAsiaTheme="minorEastAsia"/>
          <w:szCs w:val="24"/>
        </w:rPr>
        <w:t>to 3.8*</w:t>
      </w:r>
      <m:oMath>
        <m:sSup>
          <m:sSupPr>
            <m:ctrlPr>
              <w:rPr>
                <w:rFonts w:ascii="Cambria Math" w:hAnsi="Cambria Math"/>
                <w:i/>
                <w:noProof/>
                <w:szCs w:val="24"/>
              </w:rPr>
            </m:ctrlPr>
          </m:sSupPr>
          <m:e>
            <m:r>
              <w:rPr>
                <w:rFonts w:ascii="Cambria Math" w:hAnsi="Cambria Math"/>
                <w:noProof/>
                <w:szCs w:val="24"/>
              </w:rPr>
              <m:t>10</m:t>
            </m:r>
          </m:e>
          <m:sup>
            <m:r>
              <w:rPr>
                <w:rFonts w:ascii="Cambria Math" w:hAnsi="Cambria Math"/>
                <w:noProof/>
                <w:szCs w:val="24"/>
              </w:rPr>
              <m:t>5</m:t>
            </m:r>
          </m:sup>
        </m:sSup>
      </m:oMath>
      <w:r w:rsidR="00936A8C">
        <w:rPr>
          <w:rFonts w:eastAsiaTheme="minorEastAsia"/>
          <w:szCs w:val="24"/>
        </w:rPr>
        <w:t xml:space="preserve"> in a 10 gallon tank</w:t>
      </w:r>
      <w:r w:rsidR="00A5284B">
        <w:rPr>
          <w:rFonts w:eastAsiaTheme="minorEastAsia"/>
          <w:szCs w:val="24"/>
        </w:rPr>
        <w:t xml:space="preserve">. </w:t>
      </w:r>
      <w:r w:rsidR="00A5284B" w:rsidRPr="006A535E">
        <w:t>Table 1 shows</w:t>
      </w:r>
      <w:r w:rsidR="00936A8C">
        <w:t xml:space="preserve"> the dilution ratio for different size tanks using 1.0 ml syringe sample</w:t>
      </w:r>
      <w:r w:rsidR="00A5284B" w:rsidRPr="008F37C5">
        <w:rPr>
          <w:noProof/>
        </w:rPr>
        <w:t>.</w:t>
      </w:r>
      <w:r w:rsidR="00A5284B">
        <w:rPr>
          <w:noProof/>
        </w:rPr>
        <w:t xml:space="preserve"> </w:t>
      </w:r>
      <w:r w:rsidR="00A5284B" w:rsidRPr="008F37C5">
        <w:rPr>
          <w:noProof/>
        </w:rPr>
        <w:t xml:space="preserve">The tank, in any type of gallons, must be over pressurized </w:t>
      </w:r>
      <w:r w:rsidR="00936A8C">
        <w:rPr>
          <w:noProof/>
        </w:rPr>
        <w:t>t</w:t>
      </w:r>
      <w:r w:rsidR="000E125A">
        <w:rPr>
          <w:noProof/>
        </w:rPr>
        <w:t>o</w:t>
      </w:r>
      <w:r w:rsidR="00936A8C">
        <w:rPr>
          <w:noProof/>
        </w:rPr>
        <w:t xml:space="preserve"> provide an air sample for measurement instruments</w:t>
      </w:r>
      <w:r w:rsidR="00A5284B" w:rsidRPr="008F37C5">
        <w:rPr>
          <w:noProof/>
        </w:rPr>
        <w:t>.</w:t>
      </w:r>
      <w:r w:rsidR="00936A8C">
        <w:rPr>
          <w:noProof/>
        </w:rPr>
        <w:t xml:space="preserve"> Hence, the concentration within the tank is reduced. Table 2 gives the tank dilution ratios at different pressures using the Ideal Gas Law</w:t>
      </w:r>
      <w:r w:rsidR="00C62BA6">
        <w:rPr>
          <w:rFonts w:eastAsiaTheme="minorEastAsia"/>
          <w:szCs w:val="24"/>
        </w:rPr>
        <w:t xml:space="preserve">. </w:t>
      </w:r>
      <w:r w:rsidR="00936A8C">
        <w:rPr>
          <w:noProof/>
        </w:rPr>
        <w:t xml:space="preserve"> Since sampling is done at reduced pressures, and not the tank pressure, the sample concentration is given by Equation 2.</w:t>
      </w:r>
      <w:r w:rsidR="00A5284B" w:rsidRPr="008F37C5">
        <w:rPr>
          <w:noProof/>
        </w:rPr>
        <w:t xml:space="preserve"> </w:t>
      </w:r>
      <w:r w:rsidR="00936A8C" w:rsidRPr="00936A8C">
        <w:rPr>
          <w:noProof/>
        </w:rPr>
        <w:t xml:space="preserve">However, there </w:t>
      </w:r>
      <w:r w:rsidR="00193085">
        <w:rPr>
          <w:noProof/>
        </w:rPr>
        <w:t>was</w:t>
      </w:r>
      <w:r w:rsidR="00936A8C" w:rsidRPr="00936A8C">
        <w:rPr>
          <w:noProof/>
        </w:rPr>
        <w:t xml:space="preserve"> </w:t>
      </w:r>
      <w:r w:rsidR="00EB6041">
        <w:rPr>
          <w:noProof/>
        </w:rPr>
        <w:t xml:space="preserve">a </w:t>
      </w:r>
      <w:r w:rsidR="00936A8C" w:rsidRPr="00936A8C">
        <w:rPr>
          <w:noProof/>
        </w:rPr>
        <w:t>dilutio</w:t>
      </w:r>
      <w:r w:rsidR="00EB6041">
        <w:rPr>
          <w:noProof/>
        </w:rPr>
        <w:t>n</w:t>
      </w:r>
      <w:r w:rsidR="00936A8C" w:rsidRPr="00936A8C">
        <w:rPr>
          <w:noProof/>
        </w:rPr>
        <w:t xml:space="preserve"> done</w:t>
      </w:r>
      <w:r w:rsidR="00AC57FD">
        <w:rPr>
          <w:noProof/>
        </w:rPr>
        <w:t xml:space="preserve"> </w:t>
      </w:r>
      <w:r w:rsidR="00936A8C" w:rsidRPr="00936A8C">
        <w:rPr>
          <w:noProof/>
        </w:rPr>
        <w:t>when burning the AgI flares in the burning tube with an approximately 70 knot air flow inside of the burning tube</w:t>
      </w:r>
      <w:r w:rsidR="00AC57FD">
        <w:rPr>
          <w:noProof/>
        </w:rPr>
        <w:t xml:space="preserve"> (</w:t>
      </w:r>
      <w:r w:rsidR="00F9073E">
        <w:rPr>
          <w:noProof/>
        </w:rPr>
        <w:t xml:space="preserve">Delene and Otto </w:t>
      </w:r>
      <w:r w:rsidR="00AC57FD">
        <w:rPr>
          <w:noProof/>
        </w:rPr>
        <w:t>2017)</w:t>
      </w:r>
      <w:r w:rsidR="00936A8C" w:rsidRPr="00936A8C">
        <w:rPr>
          <w:noProof/>
        </w:rPr>
        <w:t>. As discussed before, the inside ar</w:t>
      </w:r>
      <w:r w:rsidR="00936A8C">
        <w:rPr>
          <w:noProof/>
        </w:rPr>
        <w:t>ea of the burning tube is 4,188</w:t>
      </w:r>
      <w:r w:rsidR="00086C75">
        <w:rPr>
          <w:noProof/>
        </w:rPr>
        <w:t xml:space="preserve"> mm</w:t>
      </w:r>
      <w:r w:rsidR="00086C75" w:rsidRPr="00086C75">
        <w:rPr>
          <w:noProof/>
          <w:vertAlign w:val="superscript"/>
        </w:rPr>
        <w:t>2</w:t>
      </w:r>
      <w:r w:rsidR="00936A8C" w:rsidRPr="00936A8C">
        <w:rPr>
          <w:noProof/>
        </w:rPr>
        <w:t>.</w:t>
      </w:r>
      <w:r w:rsidR="00CF3509">
        <w:rPr>
          <w:noProof/>
        </w:rPr>
        <w:t xml:space="preserve"> T</w:t>
      </w:r>
      <w:r w:rsidR="00936A8C" w:rsidRPr="00936A8C">
        <w:rPr>
          <w:noProof/>
        </w:rPr>
        <w:t xml:space="preserve">he </w:t>
      </w:r>
      <w:r w:rsidR="00086C75">
        <w:rPr>
          <w:noProof/>
        </w:rPr>
        <w:t xml:space="preserve">used </w:t>
      </w:r>
      <w:r w:rsidR="00936A8C" w:rsidRPr="00936A8C">
        <w:rPr>
          <w:noProof/>
        </w:rPr>
        <w:t>AgI flares are 150 g a</w:t>
      </w:r>
      <w:r w:rsidR="009524DE">
        <w:rPr>
          <w:noProof/>
        </w:rPr>
        <w:t xml:space="preserve">nd </w:t>
      </w:r>
      <w:r w:rsidR="00936A8C">
        <w:rPr>
          <w:noProof/>
        </w:rPr>
        <w:t xml:space="preserve">5.68 </w:t>
      </w:r>
      <w:r w:rsidR="00D23950">
        <w:rPr>
          <w:noProof/>
        </w:rPr>
        <w:t>g cm</w:t>
      </w:r>
      <w:r w:rsidR="00086C75" w:rsidRPr="00086C75">
        <w:rPr>
          <w:noProof/>
          <w:vertAlign w:val="superscript"/>
        </w:rPr>
        <w:t>-</w:t>
      </w:r>
      <w:r w:rsidR="00D23950" w:rsidRPr="00086C75">
        <w:rPr>
          <w:noProof/>
          <w:vertAlign w:val="superscript"/>
        </w:rPr>
        <w:t>3</w:t>
      </w:r>
      <w:r w:rsidR="009524DE">
        <w:rPr>
          <w:rFonts w:eastAsiaTheme="minorEastAsia"/>
          <w:noProof/>
        </w:rPr>
        <w:t xml:space="preserve"> density</w:t>
      </w:r>
      <w:r w:rsidR="009524DE">
        <w:rPr>
          <w:noProof/>
        </w:rPr>
        <w:t xml:space="preserve"> </w:t>
      </w:r>
      <w:r w:rsidR="00936A8C" w:rsidRPr="00936A8C">
        <w:rPr>
          <w:noProof/>
        </w:rPr>
        <w:t>produc</w:t>
      </w:r>
      <w:r w:rsidR="009524DE">
        <w:rPr>
          <w:noProof/>
        </w:rPr>
        <w:t>ing</w:t>
      </w:r>
      <w:r w:rsidR="00936A8C" w:rsidRPr="00936A8C">
        <w:rPr>
          <w:noProof/>
        </w:rPr>
        <w:t xml:space="preserve"> particles with an average diameter of 25 nm and burn for 4 min</w:t>
      </w:r>
      <w:r w:rsidR="00936A8C">
        <w:rPr>
          <w:noProof/>
        </w:rPr>
        <w:t>utes</w:t>
      </w:r>
      <w:r w:rsidR="00936A8C" w:rsidRPr="00936A8C">
        <w:rPr>
          <w:noProof/>
        </w:rPr>
        <w:t>. Therefore, t</w:t>
      </w:r>
      <w:r w:rsidR="00CF3509">
        <w:rPr>
          <w:noProof/>
        </w:rPr>
        <w:t>hat brings the</w:t>
      </w:r>
      <w:r w:rsidR="00936A8C" w:rsidRPr="00936A8C">
        <w:rPr>
          <w:noProof/>
        </w:rPr>
        <w:t xml:space="preserve"> burning tube </w:t>
      </w:r>
      <w:r w:rsidR="00CF3509">
        <w:rPr>
          <w:noProof/>
        </w:rPr>
        <w:t xml:space="preserve">to </w:t>
      </w:r>
      <w:r w:rsidR="00936A8C" w:rsidRPr="00936A8C">
        <w:rPr>
          <w:noProof/>
        </w:rPr>
        <w:t>produce 8.9*</w:t>
      </w:r>
      <m:oMath>
        <m:sSup>
          <m:sSupPr>
            <m:ctrlPr>
              <w:rPr>
                <w:rFonts w:ascii="Cambria Math" w:hAnsi="Cambria Math"/>
                <w:i/>
                <w:noProof/>
              </w:rPr>
            </m:ctrlPr>
          </m:sSupPr>
          <m:e>
            <m:r>
              <w:rPr>
                <w:rFonts w:ascii="Cambria Math" w:hAnsi="Cambria Math"/>
                <w:noProof/>
              </w:rPr>
              <m:t>10</m:t>
            </m:r>
          </m:e>
          <m:sup>
            <m:r>
              <w:rPr>
                <w:rFonts w:ascii="Cambria Math" w:hAnsi="Cambria Math"/>
                <w:noProof/>
              </w:rPr>
              <m:t>9</m:t>
            </m:r>
          </m:sup>
        </m:sSup>
      </m:oMath>
      <w:r w:rsidR="00086C75">
        <w:rPr>
          <w:noProof/>
        </w:rPr>
        <w:t xml:space="preserve"> # cm</w:t>
      </w:r>
      <w:r w:rsidR="00086C75" w:rsidRPr="00086C75">
        <w:rPr>
          <w:noProof/>
          <w:vertAlign w:val="superscript"/>
        </w:rPr>
        <w:t>-3</w:t>
      </w:r>
      <w:r w:rsidR="00086C75">
        <w:rPr>
          <w:noProof/>
        </w:rPr>
        <w:t xml:space="preserve"> </w:t>
      </w:r>
      <w:r w:rsidR="00936A8C" w:rsidRPr="00936A8C">
        <w:rPr>
          <w:noProof/>
        </w:rPr>
        <w:t>article concentration</w:t>
      </w:r>
      <w:r w:rsidR="00641980">
        <w:rPr>
          <w:noProof/>
        </w:rPr>
        <w:t>.</w:t>
      </w:r>
    </w:p>
    <w:p w:rsidR="006935A3" w:rsidRDefault="006935A3" w:rsidP="00086C75">
      <w:pPr>
        <w:rPr>
          <w:noProof/>
        </w:rPr>
      </w:pPr>
    </w:p>
    <w:p w:rsidR="00D06305" w:rsidRDefault="006935A3" w:rsidP="0073387C">
      <w:pPr>
        <w:pStyle w:val="FigureCaption"/>
      </w:pPr>
      <w:r w:rsidRPr="00592723">
        <w:t>Table 1: The dilution ratio for</w:t>
      </w:r>
      <w:r>
        <w:t xml:space="preserve"> </w:t>
      </w:r>
      <w:r w:rsidRPr="00592723">
        <w:t>different size</w:t>
      </w:r>
      <w:r>
        <w:t xml:space="preserve"> tanks</w:t>
      </w:r>
      <w:r w:rsidRPr="00592723">
        <w:t xml:space="preserve"> with the injection of 1</w:t>
      </w:r>
      <w:r>
        <w:t>.0</w:t>
      </w:r>
      <w:r w:rsidRPr="00592723">
        <w:t xml:space="preserve"> ml of a </w:t>
      </w:r>
      <w:r w:rsidRPr="0073387C">
        <w:t>sample</w:t>
      </w:r>
      <w:r w:rsidRPr="00592723">
        <w:t>.</w:t>
      </w:r>
    </w:p>
    <w:tbl>
      <w:tblPr>
        <w:tblStyle w:val="TableGrid"/>
        <w:tblW w:w="0" w:type="auto"/>
        <w:tblInd w:w="2245" w:type="dxa"/>
        <w:tblLook w:val="04A0" w:firstRow="1" w:lastRow="0" w:firstColumn="1" w:lastColumn="0" w:noHBand="0" w:noVBand="1"/>
      </w:tblPr>
      <w:tblGrid>
        <w:gridCol w:w="2427"/>
        <w:gridCol w:w="2427"/>
      </w:tblGrid>
      <w:tr w:rsidR="00A5284B" w:rsidTr="00E7247C">
        <w:trPr>
          <w:trHeight w:val="283"/>
        </w:trPr>
        <w:tc>
          <w:tcPr>
            <w:tcW w:w="2427" w:type="dxa"/>
          </w:tcPr>
          <w:p w:rsidR="00A5284B" w:rsidRDefault="00A5284B" w:rsidP="00E7247C">
            <w:pPr>
              <w:ind w:firstLine="0"/>
              <w:rPr>
                <w:rFonts w:asciiTheme="majorHAnsi" w:hAnsiTheme="majorHAnsi"/>
                <w:noProof/>
                <w:szCs w:val="24"/>
              </w:rPr>
            </w:pPr>
            <w:r>
              <w:rPr>
                <w:rFonts w:asciiTheme="majorHAnsi" w:hAnsiTheme="majorHAnsi"/>
                <w:noProof/>
                <w:szCs w:val="24"/>
              </w:rPr>
              <w:t>Type of Tank(Gallon)</w:t>
            </w:r>
          </w:p>
        </w:tc>
        <w:tc>
          <w:tcPr>
            <w:tcW w:w="2427" w:type="dxa"/>
          </w:tcPr>
          <w:p w:rsidR="00A5284B" w:rsidRDefault="00A5284B" w:rsidP="00E7247C">
            <w:pPr>
              <w:ind w:firstLine="0"/>
              <w:jc w:val="center"/>
              <w:rPr>
                <w:rFonts w:asciiTheme="majorHAnsi" w:hAnsiTheme="majorHAnsi"/>
                <w:noProof/>
                <w:szCs w:val="24"/>
              </w:rPr>
            </w:pPr>
            <w:r>
              <w:rPr>
                <w:rFonts w:asciiTheme="majorHAnsi" w:hAnsiTheme="majorHAnsi"/>
                <w:noProof/>
                <w:szCs w:val="24"/>
              </w:rPr>
              <w:t>Dilution Ratio</w:t>
            </w:r>
          </w:p>
        </w:tc>
      </w:tr>
      <w:tr w:rsidR="00A5284B" w:rsidTr="00E7247C">
        <w:trPr>
          <w:trHeight w:val="299"/>
        </w:trPr>
        <w:tc>
          <w:tcPr>
            <w:tcW w:w="2427" w:type="dxa"/>
          </w:tcPr>
          <w:p w:rsidR="00A5284B" w:rsidRDefault="00A5284B" w:rsidP="00E7247C">
            <w:pPr>
              <w:ind w:firstLine="0"/>
              <w:jc w:val="center"/>
              <w:rPr>
                <w:rFonts w:asciiTheme="majorHAnsi" w:hAnsiTheme="majorHAnsi"/>
                <w:noProof/>
                <w:szCs w:val="24"/>
              </w:rPr>
            </w:pPr>
            <w:r>
              <w:rPr>
                <w:rFonts w:asciiTheme="majorHAnsi" w:hAnsiTheme="majorHAnsi"/>
                <w:noProof/>
                <w:szCs w:val="24"/>
              </w:rPr>
              <w:t>10</w:t>
            </w:r>
          </w:p>
        </w:tc>
        <w:tc>
          <w:tcPr>
            <w:tcW w:w="2427" w:type="dxa"/>
          </w:tcPr>
          <w:p w:rsidR="00A5284B" w:rsidRDefault="00A5284B" w:rsidP="00E7247C">
            <w:pPr>
              <w:ind w:firstLine="0"/>
              <w:jc w:val="center"/>
              <w:rPr>
                <w:rFonts w:asciiTheme="majorHAnsi" w:hAnsiTheme="majorHAnsi"/>
                <w:noProof/>
                <w:szCs w:val="24"/>
              </w:rPr>
            </w:pPr>
            <w:r>
              <w:rPr>
                <w:rFonts w:asciiTheme="majorHAnsi" w:hAnsiTheme="majorHAnsi"/>
                <w:noProof/>
                <w:szCs w:val="24"/>
              </w:rPr>
              <w:t>3.8*</w:t>
            </w:r>
            <m:oMath>
              <m:sSup>
                <m:sSupPr>
                  <m:ctrlPr>
                    <w:rPr>
                      <w:rFonts w:ascii="Cambria Math" w:hAnsi="Cambria Math"/>
                      <w:i/>
                      <w:noProof/>
                      <w:szCs w:val="24"/>
                    </w:rPr>
                  </m:ctrlPr>
                </m:sSupPr>
                <m:e>
                  <m:r>
                    <w:rPr>
                      <w:rFonts w:ascii="Cambria Math" w:hAnsi="Cambria Math"/>
                      <w:noProof/>
                      <w:szCs w:val="24"/>
                    </w:rPr>
                    <m:t>10</m:t>
                  </m:r>
                </m:e>
                <m:sup>
                  <m:r>
                    <w:rPr>
                      <w:rFonts w:ascii="Cambria Math" w:hAnsi="Cambria Math"/>
                      <w:noProof/>
                      <w:szCs w:val="24"/>
                    </w:rPr>
                    <m:t>4</m:t>
                  </m:r>
                </m:sup>
              </m:sSup>
            </m:oMath>
          </w:p>
        </w:tc>
      </w:tr>
      <w:tr w:rsidR="00A5284B" w:rsidTr="00E7247C">
        <w:trPr>
          <w:trHeight w:val="299"/>
        </w:trPr>
        <w:tc>
          <w:tcPr>
            <w:tcW w:w="2427" w:type="dxa"/>
          </w:tcPr>
          <w:p w:rsidR="00A5284B" w:rsidRDefault="00A5284B" w:rsidP="00E7247C">
            <w:pPr>
              <w:ind w:firstLine="0"/>
              <w:jc w:val="center"/>
              <w:rPr>
                <w:rFonts w:asciiTheme="majorHAnsi" w:hAnsiTheme="majorHAnsi"/>
                <w:noProof/>
                <w:szCs w:val="24"/>
              </w:rPr>
            </w:pPr>
            <w:r>
              <w:rPr>
                <w:rFonts w:asciiTheme="majorHAnsi" w:hAnsiTheme="majorHAnsi"/>
                <w:noProof/>
                <w:szCs w:val="24"/>
              </w:rPr>
              <w:t>30</w:t>
            </w:r>
          </w:p>
        </w:tc>
        <w:tc>
          <w:tcPr>
            <w:tcW w:w="2427" w:type="dxa"/>
          </w:tcPr>
          <w:p w:rsidR="00A5284B" w:rsidRDefault="00A5284B" w:rsidP="00E7247C">
            <w:pPr>
              <w:ind w:firstLine="0"/>
              <w:jc w:val="center"/>
              <w:rPr>
                <w:rFonts w:asciiTheme="majorHAnsi" w:hAnsiTheme="majorHAnsi"/>
                <w:noProof/>
                <w:szCs w:val="24"/>
              </w:rPr>
            </w:pPr>
            <w:r>
              <w:rPr>
                <w:rFonts w:asciiTheme="majorHAnsi" w:hAnsiTheme="majorHAnsi"/>
                <w:noProof/>
                <w:szCs w:val="24"/>
              </w:rPr>
              <w:t>1.1*</w:t>
            </w:r>
            <m:oMath>
              <m:sSup>
                <m:sSupPr>
                  <m:ctrlPr>
                    <w:rPr>
                      <w:rFonts w:ascii="Cambria Math" w:hAnsi="Cambria Math"/>
                      <w:i/>
                      <w:noProof/>
                      <w:szCs w:val="24"/>
                    </w:rPr>
                  </m:ctrlPr>
                </m:sSupPr>
                <m:e>
                  <m:r>
                    <w:rPr>
                      <w:rFonts w:ascii="Cambria Math" w:hAnsi="Cambria Math"/>
                      <w:noProof/>
                      <w:szCs w:val="24"/>
                    </w:rPr>
                    <m:t>10</m:t>
                  </m:r>
                </m:e>
                <m:sup>
                  <m:r>
                    <w:rPr>
                      <w:rFonts w:ascii="Cambria Math" w:hAnsi="Cambria Math"/>
                      <w:noProof/>
                      <w:szCs w:val="24"/>
                    </w:rPr>
                    <m:t>5</m:t>
                  </m:r>
                </m:sup>
              </m:sSup>
            </m:oMath>
          </w:p>
        </w:tc>
      </w:tr>
      <w:tr w:rsidR="00A5284B" w:rsidTr="00E7247C">
        <w:trPr>
          <w:trHeight w:val="299"/>
        </w:trPr>
        <w:tc>
          <w:tcPr>
            <w:tcW w:w="2427" w:type="dxa"/>
          </w:tcPr>
          <w:p w:rsidR="00A5284B" w:rsidRDefault="00A5284B" w:rsidP="00E7247C">
            <w:pPr>
              <w:ind w:firstLine="0"/>
              <w:jc w:val="center"/>
              <w:rPr>
                <w:rFonts w:asciiTheme="majorHAnsi" w:hAnsiTheme="majorHAnsi"/>
                <w:noProof/>
                <w:szCs w:val="24"/>
              </w:rPr>
            </w:pPr>
            <w:r>
              <w:rPr>
                <w:rFonts w:asciiTheme="majorHAnsi" w:hAnsiTheme="majorHAnsi"/>
                <w:noProof/>
                <w:szCs w:val="24"/>
              </w:rPr>
              <w:t>60</w:t>
            </w:r>
          </w:p>
        </w:tc>
        <w:tc>
          <w:tcPr>
            <w:tcW w:w="2427" w:type="dxa"/>
          </w:tcPr>
          <w:p w:rsidR="00A5284B" w:rsidRDefault="00A5284B" w:rsidP="00E7247C">
            <w:pPr>
              <w:ind w:firstLine="0"/>
              <w:jc w:val="center"/>
              <w:rPr>
                <w:rFonts w:asciiTheme="majorHAnsi" w:hAnsiTheme="majorHAnsi"/>
                <w:noProof/>
                <w:szCs w:val="24"/>
              </w:rPr>
            </w:pPr>
            <w:r>
              <w:rPr>
                <w:rFonts w:asciiTheme="majorHAnsi" w:hAnsiTheme="majorHAnsi"/>
                <w:noProof/>
                <w:szCs w:val="24"/>
              </w:rPr>
              <w:t>2.3*</w:t>
            </w:r>
            <m:oMath>
              <m:sSup>
                <m:sSupPr>
                  <m:ctrlPr>
                    <w:rPr>
                      <w:rFonts w:ascii="Cambria Math" w:hAnsi="Cambria Math"/>
                      <w:i/>
                      <w:noProof/>
                      <w:szCs w:val="24"/>
                    </w:rPr>
                  </m:ctrlPr>
                </m:sSupPr>
                <m:e>
                  <m:r>
                    <w:rPr>
                      <w:rFonts w:ascii="Cambria Math" w:hAnsi="Cambria Math"/>
                      <w:noProof/>
                      <w:szCs w:val="24"/>
                    </w:rPr>
                    <m:t>10</m:t>
                  </m:r>
                </m:e>
                <m:sup>
                  <m:r>
                    <w:rPr>
                      <w:rFonts w:ascii="Cambria Math" w:hAnsi="Cambria Math"/>
                      <w:noProof/>
                      <w:szCs w:val="24"/>
                    </w:rPr>
                    <m:t>5</m:t>
                  </m:r>
                </m:sup>
              </m:sSup>
            </m:oMath>
          </w:p>
        </w:tc>
      </w:tr>
      <w:tr w:rsidR="00A5284B" w:rsidTr="00E7247C">
        <w:trPr>
          <w:trHeight w:val="283"/>
        </w:trPr>
        <w:tc>
          <w:tcPr>
            <w:tcW w:w="2427" w:type="dxa"/>
          </w:tcPr>
          <w:p w:rsidR="00A5284B" w:rsidRDefault="00A5284B" w:rsidP="00E7247C">
            <w:pPr>
              <w:ind w:firstLine="0"/>
              <w:jc w:val="center"/>
              <w:rPr>
                <w:rFonts w:asciiTheme="majorHAnsi" w:hAnsiTheme="majorHAnsi"/>
                <w:noProof/>
                <w:szCs w:val="24"/>
              </w:rPr>
            </w:pPr>
            <w:r>
              <w:rPr>
                <w:rFonts w:asciiTheme="majorHAnsi" w:hAnsiTheme="majorHAnsi"/>
                <w:noProof/>
                <w:szCs w:val="24"/>
              </w:rPr>
              <w:t>100</w:t>
            </w:r>
          </w:p>
        </w:tc>
        <w:tc>
          <w:tcPr>
            <w:tcW w:w="2427" w:type="dxa"/>
          </w:tcPr>
          <w:p w:rsidR="00A5284B" w:rsidRDefault="00A5284B" w:rsidP="00E7247C">
            <w:pPr>
              <w:ind w:firstLine="0"/>
              <w:jc w:val="center"/>
              <w:rPr>
                <w:rFonts w:asciiTheme="majorHAnsi" w:hAnsiTheme="majorHAnsi"/>
                <w:noProof/>
                <w:szCs w:val="24"/>
              </w:rPr>
            </w:pPr>
            <w:r>
              <w:rPr>
                <w:rFonts w:asciiTheme="majorHAnsi" w:hAnsiTheme="majorHAnsi"/>
                <w:noProof/>
                <w:szCs w:val="24"/>
              </w:rPr>
              <w:t>3.8*</w:t>
            </w:r>
            <m:oMath>
              <m:sSup>
                <m:sSupPr>
                  <m:ctrlPr>
                    <w:rPr>
                      <w:rFonts w:ascii="Cambria Math" w:hAnsi="Cambria Math"/>
                      <w:i/>
                      <w:noProof/>
                      <w:szCs w:val="24"/>
                    </w:rPr>
                  </m:ctrlPr>
                </m:sSupPr>
                <m:e>
                  <m:r>
                    <w:rPr>
                      <w:rFonts w:ascii="Cambria Math" w:hAnsi="Cambria Math"/>
                      <w:noProof/>
                      <w:szCs w:val="24"/>
                    </w:rPr>
                    <m:t>10</m:t>
                  </m:r>
                </m:e>
                <m:sup>
                  <m:r>
                    <w:rPr>
                      <w:rFonts w:ascii="Cambria Math" w:hAnsi="Cambria Math"/>
                      <w:noProof/>
                      <w:szCs w:val="24"/>
                    </w:rPr>
                    <m:t>5</m:t>
                  </m:r>
                </m:sup>
              </m:sSup>
            </m:oMath>
          </w:p>
        </w:tc>
      </w:tr>
    </w:tbl>
    <w:p w:rsidR="00A5284B" w:rsidRPr="005D08A6" w:rsidRDefault="00A5284B" w:rsidP="00A5284B">
      <w:pPr>
        <w:pStyle w:val="FigureCaption"/>
      </w:pPr>
    </w:p>
    <w:p w:rsidR="00A5284B" w:rsidRPr="0073387C" w:rsidRDefault="00A5284B" w:rsidP="0073387C">
      <w:pPr>
        <w:pStyle w:val="FigureCaption"/>
      </w:pPr>
      <w:r>
        <w:rPr>
          <w:noProof/>
        </w:rPr>
        <w:t xml:space="preserve"> </w:t>
      </w:r>
      <w:r w:rsidR="0073387C" w:rsidRPr="0073387C">
        <w:t>Table 2: The relationship between tank pressure and particle concentration ratio within the tank assuming a 10 gallon tank and 1.0 ml of sample. The concentration ratios are calculated using the Ideal Gas Law.</w:t>
      </w:r>
    </w:p>
    <w:tbl>
      <w:tblPr>
        <w:tblStyle w:val="TableGrid"/>
        <w:tblW w:w="0" w:type="auto"/>
        <w:tblInd w:w="3182" w:type="dxa"/>
        <w:tblLook w:val="04A0" w:firstRow="1" w:lastRow="0" w:firstColumn="1" w:lastColumn="0" w:noHBand="0" w:noVBand="1"/>
      </w:tblPr>
      <w:tblGrid>
        <w:gridCol w:w="1491"/>
        <w:gridCol w:w="1491"/>
      </w:tblGrid>
      <w:tr w:rsidR="00A5284B" w:rsidTr="00E7247C">
        <w:trPr>
          <w:trHeight w:val="255"/>
        </w:trPr>
        <w:tc>
          <w:tcPr>
            <w:tcW w:w="1491" w:type="dxa"/>
          </w:tcPr>
          <w:p w:rsidR="00A5284B" w:rsidRDefault="00A5284B" w:rsidP="00E7247C">
            <w:pPr>
              <w:pStyle w:val="Figure"/>
            </w:pPr>
            <w:r>
              <w:t>Pressure</w:t>
            </w:r>
            <w:r w:rsidR="00FF5B21">
              <w:t xml:space="preserve"> [PSI]</w:t>
            </w:r>
          </w:p>
        </w:tc>
        <w:tc>
          <w:tcPr>
            <w:tcW w:w="1491" w:type="dxa"/>
          </w:tcPr>
          <w:p w:rsidR="00A5284B" w:rsidRDefault="00FF5B21" w:rsidP="00E7247C">
            <w:pPr>
              <w:pStyle w:val="Figure"/>
            </w:pPr>
            <w:r>
              <w:t>Ratio</w:t>
            </w:r>
          </w:p>
        </w:tc>
      </w:tr>
      <w:tr w:rsidR="00A5284B" w:rsidTr="00E7247C">
        <w:trPr>
          <w:trHeight w:val="255"/>
        </w:trPr>
        <w:tc>
          <w:tcPr>
            <w:tcW w:w="1491" w:type="dxa"/>
          </w:tcPr>
          <w:p w:rsidR="00A5284B" w:rsidRDefault="00A5284B" w:rsidP="00E7247C">
            <w:pPr>
              <w:pStyle w:val="Figure"/>
            </w:pPr>
            <w:r>
              <w:t>5</w:t>
            </w:r>
          </w:p>
        </w:tc>
        <w:tc>
          <w:tcPr>
            <w:tcW w:w="1491" w:type="dxa"/>
          </w:tcPr>
          <w:p w:rsidR="00A5284B" w:rsidRDefault="00A5284B" w:rsidP="00E7247C">
            <w:pPr>
              <w:pStyle w:val="Figure"/>
            </w:pPr>
            <w:r>
              <w:t>1.3</w:t>
            </w:r>
          </w:p>
        </w:tc>
      </w:tr>
      <w:tr w:rsidR="00A5284B" w:rsidTr="00E7247C">
        <w:trPr>
          <w:trHeight w:val="255"/>
        </w:trPr>
        <w:tc>
          <w:tcPr>
            <w:tcW w:w="1491" w:type="dxa"/>
          </w:tcPr>
          <w:p w:rsidR="00A5284B" w:rsidRDefault="00A5284B" w:rsidP="00E7247C">
            <w:pPr>
              <w:pStyle w:val="Figure"/>
            </w:pPr>
            <w:r>
              <w:t>10</w:t>
            </w:r>
          </w:p>
        </w:tc>
        <w:tc>
          <w:tcPr>
            <w:tcW w:w="1491" w:type="dxa"/>
          </w:tcPr>
          <w:p w:rsidR="00A5284B" w:rsidRDefault="00A5284B" w:rsidP="00E7247C">
            <w:pPr>
              <w:pStyle w:val="Figure"/>
            </w:pPr>
            <w:r>
              <w:t>1.7</w:t>
            </w:r>
          </w:p>
        </w:tc>
      </w:tr>
      <w:tr w:rsidR="00A5284B" w:rsidTr="00E7247C">
        <w:trPr>
          <w:trHeight w:val="255"/>
        </w:trPr>
        <w:tc>
          <w:tcPr>
            <w:tcW w:w="1491" w:type="dxa"/>
          </w:tcPr>
          <w:p w:rsidR="00A5284B" w:rsidRDefault="00A5284B" w:rsidP="00E7247C">
            <w:pPr>
              <w:pStyle w:val="Figure"/>
            </w:pPr>
            <w:r>
              <w:t>15</w:t>
            </w:r>
          </w:p>
        </w:tc>
        <w:tc>
          <w:tcPr>
            <w:tcW w:w="1491" w:type="dxa"/>
          </w:tcPr>
          <w:p w:rsidR="00A5284B" w:rsidRDefault="00A5284B" w:rsidP="00E7247C">
            <w:pPr>
              <w:pStyle w:val="Figure"/>
            </w:pPr>
            <w:r>
              <w:t>2</w:t>
            </w:r>
          </w:p>
        </w:tc>
      </w:tr>
      <w:tr w:rsidR="00A5284B" w:rsidTr="00E7247C">
        <w:trPr>
          <w:trHeight w:val="70"/>
        </w:trPr>
        <w:tc>
          <w:tcPr>
            <w:tcW w:w="1491" w:type="dxa"/>
          </w:tcPr>
          <w:p w:rsidR="00A5284B" w:rsidRDefault="00A5284B" w:rsidP="00E7247C">
            <w:pPr>
              <w:pStyle w:val="Figure"/>
            </w:pPr>
            <w:r>
              <w:t>20</w:t>
            </w:r>
          </w:p>
        </w:tc>
        <w:tc>
          <w:tcPr>
            <w:tcW w:w="1491" w:type="dxa"/>
          </w:tcPr>
          <w:p w:rsidR="00A5284B" w:rsidRDefault="00A5284B" w:rsidP="00E7247C">
            <w:pPr>
              <w:pStyle w:val="Figure"/>
            </w:pPr>
            <w:r>
              <w:t>2.4</w:t>
            </w:r>
          </w:p>
        </w:tc>
      </w:tr>
      <w:tr w:rsidR="00A5284B" w:rsidTr="00E7247C">
        <w:trPr>
          <w:trHeight w:val="255"/>
        </w:trPr>
        <w:tc>
          <w:tcPr>
            <w:tcW w:w="1491" w:type="dxa"/>
          </w:tcPr>
          <w:p w:rsidR="00A5284B" w:rsidRDefault="00A5284B" w:rsidP="00E7247C">
            <w:pPr>
              <w:pStyle w:val="Figure"/>
            </w:pPr>
            <w:r>
              <w:t>25</w:t>
            </w:r>
          </w:p>
        </w:tc>
        <w:tc>
          <w:tcPr>
            <w:tcW w:w="1491" w:type="dxa"/>
          </w:tcPr>
          <w:p w:rsidR="00A5284B" w:rsidRDefault="00A5284B" w:rsidP="00E7247C">
            <w:pPr>
              <w:pStyle w:val="Figure"/>
            </w:pPr>
            <w:r>
              <w:t>2.7</w:t>
            </w:r>
          </w:p>
        </w:tc>
      </w:tr>
      <w:tr w:rsidR="00A5284B" w:rsidTr="00E7247C">
        <w:trPr>
          <w:trHeight w:val="255"/>
        </w:trPr>
        <w:tc>
          <w:tcPr>
            <w:tcW w:w="1491" w:type="dxa"/>
          </w:tcPr>
          <w:p w:rsidR="00A5284B" w:rsidRDefault="00A5284B" w:rsidP="00E7247C">
            <w:pPr>
              <w:pStyle w:val="Figure"/>
            </w:pPr>
            <w:r>
              <w:t>30</w:t>
            </w:r>
          </w:p>
        </w:tc>
        <w:tc>
          <w:tcPr>
            <w:tcW w:w="1491" w:type="dxa"/>
          </w:tcPr>
          <w:p w:rsidR="00A5284B" w:rsidRDefault="00A5284B" w:rsidP="00E7247C">
            <w:pPr>
              <w:pStyle w:val="Figure"/>
            </w:pPr>
            <w:r>
              <w:t>3.1</w:t>
            </w:r>
          </w:p>
        </w:tc>
      </w:tr>
    </w:tbl>
    <w:p w:rsidR="00F90F4E" w:rsidRDefault="00F82D37" w:rsidP="00F82D37">
      <w:pPr>
        <w:pStyle w:val="Heading1"/>
      </w:pPr>
      <w:r>
        <w:t>Conclusion</w:t>
      </w:r>
    </w:p>
    <w:p w:rsidR="00E8126B" w:rsidRDefault="00E8126B" w:rsidP="006E148F">
      <w:pPr>
        <w:rPr>
          <w:rFonts w:cs="Times New Roman"/>
        </w:rPr>
      </w:pPr>
      <w:r>
        <w:rPr>
          <w:rFonts w:cs="Times New Roman"/>
        </w:rPr>
        <w:t xml:space="preserve">The filter boxes </w:t>
      </w:r>
      <w:r w:rsidR="00FF5B21">
        <w:rPr>
          <w:rFonts w:cs="Times New Roman"/>
        </w:rPr>
        <w:t xml:space="preserve">successfully </w:t>
      </w:r>
      <w:r>
        <w:rPr>
          <w:rFonts w:cs="Times New Roman"/>
        </w:rPr>
        <w:t>reduced the particle concentration produced by the blowers. The SMPS measurements indicated that the filter boxes reduced the concentration in all particles sizes as expected. The v</w:t>
      </w:r>
      <w:r w:rsidR="00592723">
        <w:rPr>
          <w:rFonts w:cs="Times New Roman"/>
        </w:rPr>
        <w:t>a</w:t>
      </w:r>
      <w:r>
        <w:rPr>
          <w:rFonts w:cs="Times New Roman"/>
        </w:rPr>
        <w:t xml:space="preserve">lve dilution </w:t>
      </w:r>
      <w:r w:rsidR="00FF5B21">
        <w:rPr>
          <w:rFonts w:cs="Times New Roman"/>
        </w:rPr>
        <w:t>was</w:t>
      </w:r>
      <w:r>
        <w:rPr>
          <w:rFonts w:cs="Times New Roman"/>
        </w:rPr>
        <w:t xml:space="preserve"> found to be time consuming to obtain required dilution ratios.</w:t>
      </w:r>
      <w:r w:rsidR="00FF5B21">
        <w:rPr>
          <w:rFonts w:cs="Times New Roman"/>
        </w:rPr>
        <w:t xml:space="preserve"> Meanwhile, the particle concentration from the two valves brought the values lower than the 1 to 100 dilution </w:t>
      </w:r>
      <w:r w:rsidR="00641980">
        <w:rPr>
          <w:rFonts w:cs="Times New Roman"/>
        </w:rPr>
        <w:t>ratio</w:t>
      </w:r>
      <w:r w:rsidR="00FF5B21">
        <w:rPr>
          <w:rFonts w:cs="Times New Roman"/>
        </w:rPr>
        <w:t>. In the tank dilution system,</w:t>
      </w:r>
      <w:r>
        <w:rPr>
          <w:rFonts w:cs="Times New Roman"/>
        </w:rPr>
        <w:t xml:space="preserve"> </w:t>
      </w:r>
      <w:r w:rsidR="00FF5B21">
        <w:rPr>
          <w:rFonts w:cs="Times New Roman"/>
        </w:rPr>
        <w:t>a</w:t>
      </w:r>
      <w:r>
        <w:rPr>
          <w:rFonts w:cs="Times New Roman"/>
        </w:rPr>
        <w:t xml:space="preserve"> </w:t>
      </w:r>
      <w:r w:rsidR="00E327E1">
        <w:rPr>
          <w:rFonts w:cs="Times New Roman"/>
        </w:rPr>
        <w:t>0.1</w:t>
      </w:r>
      <w:r>
        <w:rPr>
          <w:rFonts w:cs="Times New Roman"/>
        </w:rPr>
        <w:t xml:space="preserve"> ml sample injected to a 10 gallon tank provides a </w:t>
      </w:r>
      <w:r>
        <w:rPr>
          <w:rFonts w:eastAsiaTheme="minorEastAsia"/>
          <w:szCs w:val="24"/>
        </w:rPr>
        <w:t>3.8*</w:t>
      </w:r>
      <m:oMath>
        <m:sSup>
          <m:sSupPr>
            <m:ctrlPr>
              <w:rPr>
                <w:rFonts w:ascii="Cambria Math" w:hAnsi="Cambria Math"/>
                <w:i/>
                <w:noProof/>
                <w:szCs w:val="24"/>
              </w:rPr>
            </m:ctrlPr>
          </m:sSupPr>
          <m:e>
            <m:r>
              <w:rPr>
                <w:rFonts w:ascii="Cambria Math" w:hAnsi="Cambria Math"/>
                <w:noProof/>
                <w:szCs w:val="24"/>
              </w:rPr>
              <m:t>10</m:t>
            </m:r>
          </m:e>
          <m:sup>
            <m:r>
              <w:rPr>
                <w:rFonts w:ascii="Cambria Math" w:hAnsi="Cambria Math"/>
                <w:noProof/>
                <w:szCs w:val="24"/>
              </w:rPr>
              <m:t>5</m:t>
            </m:r>
          </m:sup>
        </m:sSup>
      </m:oMath>
      <w:r>
        <w:rPr>
          <w:rFonts w:eastAsiaTheme="minorEastAsia"/>
          <w:szCs w:val="24"/>
        </w:rPr>
        <w:t xml:space="preserve"> dilution ratio. With 30 PSI tank pressure, the 10 gallon tank </w:t>
      </w:r>
      <w:r w:rsidR="00592723">
        <w:rPr>
          <w:rFonts w:eastAsiaTheme="minorEastAsia"/>
          <w:szCs w:val="24"/>
        </w:rPr>
        <w:t>can</w:t>
      </w:r>
      <w:r>
        <w:rPr>
          <w:rFonts w:eastAsiaTheme="minorEastAsia"/>
          <w:szCs w:val="24"/>
        </w:rPr>
        <w:t xml:space="preserve"> provide a </w:t>
      </w:r>
      <w:r w:rsidR="00592723">
        <w:rPr>
          <w:rFonts w:eastAsiaTheme="minorEastAsia"/>
          <w:szCs w:val="24"/>
        </w:rPr>
        <w:t xml:space="preserve">3 </w:t>
      </w:r>
      <w:r w:rsidR="00E327E1">
        <w:rPr>
          <w:rFonts w:eastAsiaTheme="minorEastAsia"/>
          <w:szCs w:val="24"/>
        </w:rPr>
        <w:t>I</w:t>
      </w:r>
      <w:r w:rsidR="00592723">
        <w:rPr>
          <w:rFonts w:eastAsiaTheme="minorEastAsia"/>
          <w:szCs w:val="24"/>
        </w:rPr>
        <w:t>mp of flow for over 30 minutes. Initial tests of the tank dilution system indicate it is less time consuming than the valve dilution system: therefore, the tank dilution system will be used at M</w:t>
      </w:r>
      <w:r w:rsidR="005F061B">
        <w:rPr>
          <w:rFonts w:eastAsiaTheme="minorEastAsia"/>
          <w:szCs w:val="24"/>
        </w:rPr>
        <w:t>TU</w:t>
      </w:r>
      <w:r w:rsidR="00592723">
        <w:rPr>
          <w:rFonts w:eastAsiaTheme="minorEastAsia"/>
          <w:szCs w:val="24"/>
        </w:rPr>
        <w:t>’s PI Cloud Chamber to test for effectiveness of the material in a controlled environment.</w:t>
      </w:r>
    </w:p>
    <w:p w:rsidR="0038180F" w:rsidRDefault="0038180F" w:rsidP="0038180F">
      <w:pPr>
        <w:pStyle w:val="Heading1"/>
      </w:pPr>
      <w:r>
        <w:t>Acknowledgement</w:t>
      </w:r>
    </w:p>
    <w:p w:rsidR="00140864" w:rsidRDefault="00D41FFA" w:rsidP="006E148F">
      <w:r>
        <w:t xml:space="preserve">I would like to acknowledge and thank my committee chair, David Delene, and my committee member, Mike </w:t>
      </w:r>
      <w:proofErr w:type="spellStart"/>
      <w:r>
        <w:t>Poell</w:t>
      </w:r>
      <w:r w:rsidR="00E327E1">
        <w:t>o</w:t>
      </w:r>
      <w:r>
        <w:t>t</w:t>
      </w:r>
      <w:proofErr w:type="spellEnd"/>
      <w:r>
        <w:t xml:space="preserve"> for helping with my experiments, paper, and presentation. </w:t>
      </w:r>
      <w:r w:rsidR="00B93042">
        <w:t xml:space="preserve"> I’ll acknowledge t</w:t>
      </w:r>
      <w:r>
        <w:t>he Senior Project c</w:t>
      </w:r>
      <w:r w:rsidR="00B93042">
        <w:t>ourse, and the students in the Atmospheric Science program</w:t>
      </w:r>
      <w:r>
        <w:t xml:space="preserve"> at U</w:t>
      </w:r>
      <w:r w:rsidR="005117CB">
        <w:t>ND</w:t>
      </w:r>
      <w:r>
        <w:t xml:space="preserve"> for guiding and pushing </w:t>
      </w:r>
      <w:r w:rsidR="00B93042">
        <w:t xml:space="preserve">me </w:t>
      </w:r>
      <w:r>
        <w:t xml:space="preserve">to explore the options at the University. </w:t>
      </w:r>
      <w:r w:rsidR="00B93042">
        <w:t xml:space="preserve"> Finally, I would like to acknowledge and thank the</w:t>
      </w:r>
      <w:r w:rsidR="0038180F">
        <w:t xml:space="preserve"> one funding agency used in this project</w:t>
      </w:r>
      <w:r w:rsidR="00B93042">
        <w:t>,</w:t>
      </w:r>
      <w:r w:rsidR="0038180F">
        <w:t xml:space="preserve"> the Department of Commerce: Research ND.</w:t>
      </w:r>
      <w:r w:rsidR="00140864">
        <w:t xml:space="preserve"> All this help concludes the Characteristics of Silver Iodide used for Weather Modification Project</w:t>
      </w:r>
      <w:r w:rsidR="000B1484">
        <w:t>;</w:t>
      </w:r>
      <w:r w:rsidR="00140864">
        <w:t xml:space="preserve"> with results that will </w:t>
      </w:r>
      <w:r w:rsidR="00E96AB9">
        <w:t xml:space="preserve">hopefully </w:t>
      </w:r>
      <w:r w:rsidR="006E148F">
        <w:t>further</w:t>
      </w:r>
      <w:r w:rsidR="00E96AB9" w:rsidRPr="00EA6078">
        <w:t xml:space="preserve"> experiments performed at </w:t>
      </w:r>
      <w:r w:rsidR="005117CB">
        <w:t>MTU</w:t>
      </w:r>
      <w:r w:rsidR="00E96AB9" w:rsidRPr="00EA6078">
        <w:t xml:space="preserve"> in </w:t>
      </w:r>
      <w:r w:rsidR="00E96AB9" w:rsidRPr="004B6BE2">
        <w:t>their P</w:t>
      </w:r>
      <w:r w:rsidR="00706ED3">
        <w:t>I</w:t>
      </w:r>
      <w:r w:rsidR="00E96AB9" w:rsidRPr="00EA6078">
        <w:t xml:space="preserve"> Cloud Chamber</w:t>
      </w:r>
      <w:r w:rsidR="00E96AB9">
        <w:t>.</w:t>
      </w:r>
    </w:p>
    <w:p w:rsidR="000B1484" w:rsidRDefault="000B1484" w:rsidP="00E96AB9">
      <w:pPr>
        <w:sectPr w:rsidR="000B1484">
          <w:footerReference w:type="default" r:id="rId14"/>
          <w:pgSz w:w="12240" w:h="15840"/>
          <w:pgMar w:top="1440" w:right="1440" w:bottom="1440" w:left="1440" w:header="720" w:footer="720" w:gutter="0"/>
          <w:cols w:space="720"/>
          <w:docGrid w:linePitch="360"/>
        </w:sectPr>
      </w:pPr>
    </w:p>
    <w:p w:rsidR="000B1484" w:rsidRPr="00F82D37" w:rsidRDefault="000B1484" w:rsidP="00E96AB9"/>
    <w:p w:rsidR="00BE0362" w:rsidRPr="003E03D8" w:rsidRDefault="00BE0362" w:rsidP="00DF4780">
      <w:pPr>
        <w:pStyle w:val="Heading1"/>
      </w:pPr>
      <w:r w:rsidRPr="003E03D8">
        <w:t xml:space="preserve"> </w:t>
      </w:r>
      <w:r w:rsidR="00DF4780">
        <w:t>R</w:t>
      </w:r>
      <w:r w:rsidRPr="003E03D8">
        <w:t>eferences</w:t>
      </w:r>
    </w:p>
    <w:p w:rsidR="004B6369" w:rsidRPr="005D08A6" w:rsidRDefault="004B6369" w:rsidP="00641980">
      <w:pPr>
        <w:ind w:left="720" w:hanging="720"/>
        <w:jc w:val="left"/>
        <w:rPr>
          <w:rFonts w:cs="Times New Roman"/>
          <w:szCs w:val="24"/>
        </w:rPr>
      </w:pPr>
      <w:r w:rsidRPr="005D08A6">
        <w:rPr>
          <w:rFonts w:cs="Times New Roman"/>
          <w:szCs w:val="24"/>
          <w:shd w:val="clear" w:color="auto" w:fill="FFFFFF"/>
        </w:rPr>
        <w:t>Bergeron, T.</w:t>
      </w:r>
      <w:r w:rsidR="004E75A0">
        <w:rPr>
          <w:rFonts w:cs="Times New Roman"/>
          <w:szCs w:val="24"/>
          <w:shd w:val="clear" w:color="auto" w:fill="FFFFFF"/>
        </w:rPr>
        <w:t>,</w:t>
      </w:r>
      <w:r w:rsidRPr="005D08A6">
        <w:rPr>
          <w:rFonts w:cs="Times New Roman"/>
          <w:szCs w:val="24"/>
          <w:shd w:val="clear" w:color="auto" w:fill="FFFFFF"/>
        </w:rPr>
        <w:t xml:space="preserve"> 1935</w:t>
      </w:r>
      <w:r w:rsidR="004E75A0">
        <w:rPr>
          <w:rFonts w:cs="Times New Roman"/>
          <w:szCs w:val="24"/>
          <w:shd w:val="clear" w:color="auto" w:fill="FFFFFF"/>
        </w:rPr>
        <w:t>:</w:t>
      </w:r>
      <w:r w:rsidRPr="005D08A6">
        <w:rPr>
          <w:rFonts w:cs="Times New Roman"/>
          <w:szCs w:val="24"/>
          <w:shd w:val="clear" w:color="auto" w:fill="FFFFFF"/>
        </w:rPr>
        <w:t xml:space="preserve"> On the physics of cloud and precipitation. Proc. 5th Assembly U.G.G.I. Lisbon. Vol. 2</w:t>
      </w:r>
      <w:r w:rsidR="006E148F" w:rsidRPr="005D08A6">
        <w:rPr>
          <w:rFonts w:cs="Times New Roman"/>
          <w:szCs w:val="24"/>
          <w:shd w:val="clear" w:color="auto" w:fill="FFFFFF"/>
        </w:rPr>
        <w:t>.</w:t>
      </w:r>
      <w:r w:rsidRPr="005D08A6">
        <w:rPr>
          <w:rFonts w:cs="Times New Roman"/>
          <w:szCs w:val="24"/>
          <w:shd w:val="clear" w:color="auto" w:fill="FFFFFF"/>
        </w:rPr>
        <w:t xml:space="preserve"> p. 156</w:t>
      </w:r>
    </w:p>
    <w:p w:rsidR="00622B3C" w:rsidRPr="005D08A6" w:rsidRDefault="00EE3328" w:rsidP="00641980">
      <w:pPr>
        <w:ind w:left="720" w:hanging="720"/>
        <w:jc w:val="left"/>
        <w:rPr>
          <w:rStyle w:val="fontstyle01"/>
          <w:rFonts w:ascii="Times New Roman" w:hAnsi="Times New Roman" w:cs="Times New Roman"/>
        </w:rPr>
      </w:pPr>
      <w:r w:rsidRPr="005D08A6">
        <w:rPr>
          <w:rFonts w:cs="Times New Roman"/>
          <w:szCs w:val="24"/>
        </w:rPr>
        <w:t>Delene, D.</w:t>
      </w:r>
      <w:r w:rsidR="00622B3C" w:rsidRPr="005D08A6">
        <w:rPr>
          <w:rFonts w:cs="Times New Roman"/>
          <w:szCs w:val="24"/>
        </w:rPr>
        <w:t xml:space="preserve"> and Boe</w:t>
      </w:r>
      <w:r w:rsidRPr="005D08A6">
        <w:rPr>
          <w:rFonts w:cs="Times New Roman"/>
          <w:szCs w:val="24"/>
        </w:rPr>
        <w:t>, B.</w:t>
      </w:r>
      <w:r w:rsidR="00622B3C" w:rsidRPr="005D08A6">
        <w:rPr>
          <w:rFonts w:cs="Times New Roman"/>
          <w:szCs w:val="24"/>
        </w:rPr>
        <w:t xml:space="preserve">, 2016: Size Distribution Measurements of Seeding Nuclei. </w:t>
      </w:r>
      <w:r w:rsidR="004E75A0">
        <w:rPr>
          <w:rFonts w:cs="Times New Roman"/>
          <w:szCs w:val="24"/>
        </w:rPr>
        <w:t xml:space="preserve">Weather Modification Incorporated, Accessed 27 November 2017, </w:t>
      </w:r>
      <w:r w:rsidR="00622B3C" w:rsidRPr="005D08A6">
        <w:rPr>
          <w:rFonts w:cs="Times New Roman"/>
          <w:szCs w:val="24"/>
        </w:rPr>
        <w:t>http://aerosol.atmos.und.edu/DeleneBoe_WMA2016_Presentation_160427.pdf.</w:t>
      </w:r>
    </w:p>
    <w:p w:rsidR="00BE0362" w:rsidRPr="005D08A6" w:rsidRDefault="00BE0362" w:rsidP="00641980">
      <w:pPr>
        <w:ind w:left="720" w:hanging="720"/>
        <w:jc w:val="left"/>
        <w:rPr>
          <w:rFonts w:cs="Times New Roman"/>
          <w:szCs w:val="24"/>
        </w:rPr>
      </w:pPr>
      <w:r w:rsidRPr="005D08A6">
        <w:rPr>
          <w:rStyle w:val="fontstyle01"/>
          <w:rFonts w:ascii="Times New Roman" w:hAnsi="Times New Roman" w:cs="Times New Roman"/>
        </w:rPr>
        <w:t xml:space="preserve">Delene, D. and Otto, A., 2017: </w:t>
      </w:r>
      <w:r w:rsidRPr="005D08A6">
        <w:rPr>
          <w:rFonts w:cs="Times New Roman"/>
          <w:szCs w:val="24"/>
        </w:rPr>
        <w:t>Design and Testing of a Sampling System for the ICE Flare Testing Project.</w:t>
      </w:r>
      <w:r w:rsidR="004E75A0">
        <w:rPr>
          <w:rFonts w:cs="Times New Roman"/>
          <w:szCs w:val="24"/>
        </w:rPr>
        <w:t xml:space="preserve"> Accessed 12 November 2017, </w:t>
      </w:r>
      <w:r w:rsidR="00E44234" w:rsidRPr="00341649">
        <w:rPr>
          <w:rFonts w:cs="Times New Roman"/>
          <w:szCs w:val="24"/>
          <w:shd w:val="clear" w:color="auto" w:fill="FFFFFF"/>
        </w:rPr>
        <w:t>http://aerosol.atmos.und.edu/ICEFlarePoster170511.pdf</w:t>
      </w:r>
      <w:r w:rsidR="004E75A0">
        <w:rPr>
          <w:rFonts w:cs="Times New Roman"/>
          <w:szCs w:val="24"/>
        </w:rPr>
        <w:t>.</w:t>
      </w:r>
    </w:p>
    <w:p w:rsidR="00EE3328" w:rsidRPr="005D08A6" w:rsidRDefault="00EE3328" w:rsidP="00641980">
      <w:pPr>
        <w:ind w:left="720" w:hanging="720"/>
        <w:jc w:val="left"/>
        <w:rPr>
          <w:rFonts w:cs="Times New Roman"/>
          <w:szCs w:val="24"/>
          <w:shd w:val="clear" w:color="auto" w:fill="FFFFFF"/>
        </w:rPr>
      </w:pPr>
      <w:r w:rsidRPr="005D08A6">
        <w:rPr>
          <w:rFonts w:cs="Times New Roman"/>
          <w:szCs w:val="24"/>
          <w:shd w:val="clear" w:color="auto" w:fill="FFFFFF"/>
        </w:rPr>
        <w:t>Findeisen, </w:t>
      </w:r>
      <w:r w:rsidRPr="005D08A6">
        <w:rPr>
          <w:rStyle w:val="nlmgiven-names"/>
          <w:rFonts w:cs="Times New Roman"/>
          <w:color w:val="000000"/>
          <w:szCs w:val="24"/>
          <w:shd w:val="clear" w:color="auto" w:fill="FFFFFF"/>
        </w:rPr>
        <w:t>W.</w:t>
      </w:r>
      <w:r w:rsidRPr="005D08A6">
        <w:rPr>
          <w:rFonts w:cs="Times New Roman"/>
          <w:szCs w:val="24"/>
          <w:shd w:val="clear" w:color="auto" w:fill="FFFFFF"/>
        </w:rPr>
        <w:t>, </w:t>
      </w:r>
      <w:r w:rsidRPr="005D08A6">
        <w:rPr>
          <w:rStyle w:val="nlmyear"/>
          <w:rFonts w:cs="Times New Roman"/>
          <w:color w:val="000000"/>
          <w:szCs w:val="24"/>
          <w:shd w:val="clear" w:color="auto" w:fill="FFFFFF"/>
        </w:rPr>
        <w:t>1938</w:t>
      </w:r>
      <w:r w:rsidRPr="005D08A6">
        <w:rPr>
          <w:rFonts w:cs="Times New Roman"/>
          <w:szCs w:val="24"/>
          <w:shd w:val="clear" w:color="auto" w:fill="FFFFFF"/>
        </w:rPr>
        <w:t>: </w:t>
      </w:r>
      <w:r w:rsidRPr="005D08A6">
        <w:rPr>
          <w:rStyle w:val="nlmarticle-title"/>
          <w:rFonts w:cs="Times New Roman"/>
          <w:color w:val="000000"/>
          <w:szCs w:val="24"/>
          <w:shd w:val="clear" w:color="auto" w:fill="FFFFFF"/>
        </w:rPr>
        <w:t>Kolloid-meteorologische Vorgänge bei Neiderschlags-bildung.</w:t>
      </w:r>
      <w:r w:rsidRPr="005D08A6">
        <w:rPr>
          <w:rFonts w:cs="Times New Roman"/>
          <w:szCs w:val="24"/>
          <w:shd w:val="clear" w:color="auto" w:fill="FFFFFF"/>
        </w:rPr>
        <w:t> </w:t>
      </w:r>
      <w:r w:rsidRPr="005D08A6">
        <w:rPr>
          <w:rFonts w:cs="Times New Roman"/>
          <w:i/>
          <w:iCs/>
          <w:szCs w:val="24"/>
          <w:shd w:val="clear" w:color="auto" w:fill="FFFFFF"/>
        </w:rPr>
        <w:t>Meteor. Z.</w:t>
      </w:r>
      <w:r w:rsidRPr="005D08A6">
        <w:rPr>
          <w:rFonts w:cs="Times New Roman"/>
          <w:szCs w:val="24"/>
          <w:shd w:val="clear" w:color="auto" w:fill="FFFFFF"/>
        </w:rPr>
        <w:t>, </w:t>
      </w:r>
      <w:r w:rsidRPr="005D08A6">
        <w:rPr>
          <w:rFonts w:cs="Times New Roman"/>
          <w:b/>
          <w:bCs/>
          <w:szCs w:val="24"/>
          <w:shd w:val="clear" w:color="auto" w:fill="FFFFFF"/>
        </w:rPr>
        <w:t>55, </w:t>
      </w:r>
      <w:r w:rsidRPr="005D08A6">
        <w:rPr>
          <w:rStyle w:val="nlmfpage"/>
          <w:rFonts w:cs="Times New Roman"/>
          <w:color w:val="000000"/>
          <w:szCs w:val="24"/>
          <w:shd w:val="clear" w:color="auto" w:fill="FFFFFF"/>
        </w:rPr>
        <w:t>121</w:t>
      </w:r>
      <w:r w:rsidRPr="005D08A6">
        <w:rPr>
          <w:rFonts w:cs="Times New Roman"/>
          <w:szCs w:val="24"/>
          <w:shd w:val="clear" w:color="auto" w:fill="FFFFFF"/>
        </w:rPr>
        <w:t>–</w:t>
      </w:r>
      <w:r w:rsidRPr="005D08A6">
        <w:rPr>
          <w:rStyle w:val="nlmlpage"/>
          <w:rFonts w:cs="Times New Roman"/>
          <w:color w:val="000000"/>
          <w:szCs w:val="24"/>
          <w:shd w:val="clear" w:color="auto" w:fill="FFFFFF"/>
        </w:rPr>
        <w:t>133</w:t>
      </w:r>
    </w:p>
    <w:p w:rsidR="00BE0362" w:rsidRPr="005D08A6" w:rsidRDefault="00BE0362" w:rsidP="00641980">
      <w:pPr>
        <w:ind w:left="720" w:hanging="720"/>
        <w:jc w:val="left"/>
        <w:rPr>
          <w:rFonts w:cs="Times New Roman"/>
          <w:color w:val="00000A"/>
          <w:szCs w:val="24"/>
        </w:rPr>
      </w:pPr>
      <w:r w:rsidRPr="005D08A6">
        <w:rPr>
          <w:rFonts w:cs="Times New Roman"/>
          <w:color w:val="00000A"/>
          <w:szCs w:val="24"/>
        </w:rPr>
        <w:t xml:space="preserve">Schaefer, V. J., 1946: The production of ice crystals in a cloud of supercooled water droplets. </w:t>
      </w:r>
      <w:r w:rsidRPr="005D08A6">
        <w:rPr>
          <w:rFonts w:cs="Times New Roman"/>
          <w:i/>
          <w:iCs/>
          <w:color w:val="00000A"/>
          <w:szCs w:val="24"/>
        </w:rPr>
        <w:t>Science</w:t>
      </w:r>
      <w:r w:rsidRPr="005D08A6">
        <w:rPr>
          <w:rFonts w:cs="Times New Roman"/>
          <w:color w:val="00000A"/>
          <w:szCs w:val="24"/>
        </w:rPr>
        <w:t xml:space="preserve">, </w:t>
      </w:r>
      <w:r w:rsidRPr="005D08A6">
        <w:rPr>
          <w:rFonts w:cs="Times New Roman"/>
          <w:b/>
          <w:bCs/>
          <w:color w:val="00000A"/>
          <w:szCs w:val="24"/>
        </w:rPr>
        <w:t>104</w:t>
      </w:r>
      <w:r w:rsidRPr="005D08A6">
        <w:rPr>
          <w:rFonts w:cs="Times New Roman"/>
          <w:color w:val="00000A"/>
          <w:szCs w:val="24"/>
        </w:rPr>
        <w:t>, 457–459.</w:t>
      </w:r>
    </w:p>
    <w:p w:rsidR="00256547" w:rsidRPr="002D2C36" w:rsidRDefault="002D2C36" w:rsidP="00641980">
      <w:pPr>
        <w:ind w:left="720" w:hanging="720"/>
        <w:jc w:val="left"/>
      </w:pPr>
      <w:r>
        <w:rPr>
          <w:rFonts w:cs="Times New Roman"/>
          <w:szCs w:val="24"/>
          <w:shd w:val="clear" w:color="auto" w:fill="FFFFFF"/>
        </w:rPr>
        <w:t>TSI,</w:t>
      </w:r>
      <w:r w:rsidR="00641980">
        <w:rPr>
          <w:rFonts w:cs="Times New Roman"/>
          <w:szCs w:val="24"/>
          <w:shd w:val="clear" w:color="auto" w:fill="FFFFFF"/>
        </w:rPr>
        <w:t xml:space="preserve"> </w:t>
      </w:r>
      <w:r>
        <w:rPr>
          <w:rFonts w:cs="Times New Roman"/>
          <w:szCs w:val="24"/>
          <w:shd w:val="clear" w:color="auto" w:fill="FFFFFF"/>
        </w:rPr>
        <w:t>2010:</w:t>
      </w:r>
      <w:r w:rsidRPr="002D2C36">
        <w:t xml:space="preserve"> </w:t>
      </w:r>
      <w:r>
        <w:t xml:space="preserve">Model 3936 Scanning Mobility Particle Sizer™ (SMPS™) Spectrometer Operation and Service Manual. Accessed 10 May 2018, </w:t>
      </w:r>
      <w:r w:rsidRPr="00641980">
        <w:t>http://cires1.colorado.edu/jimenez-group/Manuals/SMPS_manual</w:t>
      </w:r>
      <w:r>
        <w:t>.</w:t>
      </w:r>
    </w:p>
    <w:p w:rsidR="001532B9" w:rsidRDefault="002D2C36" w:rsidP="00641980">
      <w:pPr>
        <w:ind w:left="720" w:hanging="720"/>
        <w:jc w:val="left"/>
      </w:pPr>
      <w:r>
        <w:rPr>
          <w:rFonts w:cs="Times New Roman"/>
          <w:szCs w:val="24"/>
          <w:shd w:val="clear" w:color="auto" w:fill="FFFFFF"/>
        </w:rPr>
        <w:t>TSI,</w:t>
      </w:r>
      <w:r w:rsidR="00641980">
        <w:rPr>
          <w:rFonts w:cs="Times New Roman"/>
          <w:szCs w:val="24"/>
          <w:shd w:val="clear" w:color="auto" w:fill="FFFFFF"/>
        </w:rPr>
        <w:t xml:space="preserve"> </w:t>
      </w:r>
      <w:r>
        <w:rPr>
          <w:rFonts w:cs="Times New Roman"/>
          <w:szCs w:val="24"/>
          <w:shd w:val="clear" w:color="auto" w:fill="FFFFFF"/>
        </w:rPr>
        <w:t xml:space="preserve">2007: </w:t>
      </w:r>
      <w:r>
        <w:t xml:space="preserve">Model 3772/3771 Condensation Particle Counter Operation and Service Manual. Accessed 10 May 2018, </w:t>
      </w:r>
      <w:r w:rsidRPr="00641980">
        <w:t>http://www.wmo-gaw-wcc-aerosol-physics.org/files/cpc_3772-3771.pdf</w:t>
      </w:r>
      <w:r>
        <w:t>.</w:t>
      </w:r>
    </w:p>
    <w:p w:rsidR="00451221" w:rsidRDefault="002D2C36" w:rsidP="00641980">
      <w:pPr>
        <w:ind w:left="720" w:hanging="720"/>
        <w:jc w:val="left"/>
      </w:pPr>
      <w:r>
        <w:rPr>
          <w:rFonts w:cs="Times New Roman"/>
          <w:szCs w:val="24"/>
          <w:shd w:val="clear" w:color="auto" w:fill="FFFFFF"/>
        </w:rPr>
        <w:t>TSI,</w:t>
      </w:r>
      <w:r w:rsidR="00641980">
        <w:rPr>
          <w:rFonts w:cs="Times New Roman"/>
          <w:szCs w:val="24"/>
          <w:shd w:val="clear" w:color="auto" w:fill="FFFFFF"/>
        </w:rPr>
        <w:t xml:space="preserve"> </w:t>
      </w:r>
      <w:r>
        <w:rPr>
          <w:rFonts w:cs="Times New Roman"/>
          <w:szCs w:val="24"/>
          <w:shd w:val="clear" w:color="auto" w:fill="FFFFFF"/>
        </w:rPr>
        <w:t xml:space="preserve">2004: </w:t>
      </w:r>
      <w:r>
        <w:t>Model 3321 Aerodynamic Particle Sizer® Spectrometer Instruction Manual. Accessed 10 May 2018,</w:t>
      </w:r>
      <w:r w:rsidRPr="002D2C36">
        <w:t xml:space="preserve"> </w:t>
      </w:r>
      <w:r w:rsidR="00641980" w:rsidRPr="00641980">
        <w:t>http://www.wmo-gaw-wcc-aerosol-physics.org/files/aps_3321.pdf</w:t>
      </w:r>
      <w:r>
        <w:t>.</w:t>
      </w:r>
    </w:p>
    <w:p w:rsidR="00641980" w:rsidRPr="00E44234" w:rsidRDefault="00641980" w:rsidP="00641980">
      <w:pPr>
        <w:ind w:left="720" w:hanging="720"/>
        <w:jc w:val="left"/>
        <w:rPr>
          <w:rFonts w:cs="Times New Roman"/>
          <w:szCs w:val="24"/>
          <w:shd w:val="clear" w:color="auto" w:fill="FFFFFF"/>
        </w:rPr>
      </w:pPr>
      <w:r>
        <w:rPr>
          <w:rFonts w:cs="Times New Roman"/>
          <w:szCs w:val="24"/>
          <w:shd w:val="clear" w:color="auto" w:fill="FFFFFF"/>
        </w:rPr>
        <w:t xml:space="preserve">Weather Modification Association, 2001-2017: Project Location Map. </w:t>
      </w:r>
      <w:proofErr w:type="spellStart"/>
      <w:r>
        <w:rPr>
          <w:rFonts w:cs="Times New Roman"/>
          <w:szCs w:val="24"/>
          <w:shd w:val="clear" w:color="auto" w:fill="FFFFFF"/>
        </w:rPr>
        <w:t>MaltaNetwork</w:t>
      </w:r>
      <w:proofErr w:type="spellEnd"/>
      <w:r>
        <w:rPr>
          <w:rFonts w:cs="Times New Roman"/>
          <w:szCs w:val="24"/>
          <w:shd w:val="clear" w:color="auto" w:fill="FFFFFF"/>
        </w:rPr>
        <w:t xml:space="preserve">, Accessed 3 May 2018, </w:t>
      </w:r>
      <w:r w:rsidRPr="00E44234">
        <w:rPr>
          <w:rFonts w:cs="Times New Roman"/>
          <w:szCs w:val="24"/>
          <w:shd w:val="clear" w:color="auto" w:fill="FFFFFF"/>
        </w:rPr>
        <w:t>http://www.weathermodification.org/projectlocations.php</w:t>
      </w:r>
      <w:r>
        <w:rPr>
          <w:rFonts w:cs="Times New Roman"/>
          <w:szCs w:val="24"/>
          <w:shd w:val="clear" w:color="auto" w:fill="FFFFFF"/>
        </w:rPr>
        <w:t>.</w:t>
      </w:r>
    </w:p>
    <w:p w:rsidR="00641980" w:rsidRPr="00641980" w:rsidRDefault="00641980" w:rsidP="00641980">
      <w:pPr>
        <w:ind w:left="720" w:hanging="720"/>
        <w:jc w:val="left"/>
        <w:rPr>
          <w:rFonts w:cs="Times New Roman"/>
          <w:szCs w:val="24"/>
          <w:shd w:val="clear" w:color="auto" w:fill="FFFFFF"/>
        </w:rPr>
      </w:pPr>
      <w:r w:rsidRPr="005D08A6">
        <w:rPr>
          <w:rFonts w:cs="Times New Roman"/>
          <w:szCs w:val="24"/>
          <w:shd w:val="clear" w:color="auto" w:fill="FFFFFF"/>
        </w:rPr>
        <w:t>Wegener, </w:t>
      </w:r>
      <w:r w:rsidRPr="005D08A6">
        <w:rPr>
          <w:rStyle w:val="nlmgiven-names"/>
          <w:rFonts w:cs="Times New Roman"/>
          <w:color w:val="000000"/>
          <w:szCs w:val="24"/>
          <w:shd w:val="clear" w:color="auto" w:fill="FFFFFF"/>
        </w:rPr>
        <w:t>A.</w:t>
      </w:r>
      <w:r w:rsidRPr="005D08A6">
        <w:rPr>
          <w:rFonts w:cs="Times New Roman"/>
          <w:szCs w:val="24"/>
          <w:shd w:val="clear" w:color="auto" w:fill="FFFFFF"/>
        </w:rPr>
        <w:t>, </w:t>
      </w:r>
      <w:r w:rsidRPr="005D08A6">
        <w:rPr>
          <w:rStyle w:val="nlmyear"/>
          <w:rFonts w:cs="Times New Roman"/>
          <w:color w:val="000000"/>
          <w:szCs w:val="24"/>
          <w:shd w:val="clear" w:color="auto" w:fill="FFFFFF"/>
        </w:rPr>
        <w:t>1911</w:t>
      </w:r>
      <w:r w:rsidRPr="005D08A6">
        <w:rPr>
          <w:rFonts w:cs="Times New Roman"/>
          <w:szCs w:val="24"/>
          <w:shd w:val="clear" w:color="auto" w:fill="FFFFFF"/>
        </w:rPr>
        <w:t>: </w:t>
      </w:r>
      <w:proofErr w:type="spellStart"/>
      <w:r w:rsidRPr="005D08A6">
        <w:rPr>
          <w:rStyle w:val="nlmarticle-title"/>
          <w:rFonts w:cs="Times New Roman"/>
          <w:i/>
          <w:iCs/>
          <w:color w:val="000000"/>
          <w:szCs w:val="24"/>
          <w:shd w:val="clear" w:color="auto" w:fill="FFFFFF"/>
        </w:rPr>
        <w:t>Thermodynamik</w:t>
      </w:r>
      <w:proofErr w:type="spellEnd"/>
      <w:r w:rsidRPr="005D08A6">
        <w:rPr>
          <w:rStyle w:val="nlmarticle-title"/>
          <w:rFonts w:cs="Times New Roman"/>
          <w:i/>
          <w:iCs/>
          <w:color w:val="000000"/>
          <w:szCs w:val="24"/>
          <w:shd w:val="clear" w:color="auto" w:fill="FFFFFF"/>
        </w:rPr>
        <w:t xml:space="preserve"> der </w:t>
      </w:r>
      <w:proofErr w:type="spellStart"/>
      <w:r w:rsidRPr="005D08A6">
        <w:rPr>
          <w:rStyle w:val="nlmarticle-title"/>
          <w:rFonts w:cs="Times New Roman"/>
          <w:i/>
          <w:iCs/>
          <w:color w:val="000000"/>
          <w:szCs w:val="24"/>
          <w:shd w:val="clear" w:color="auto" w:fill="FFFFFF"/>
        </w:rPr>
        <w:t>Atmosphäre</w:t>
      </w:r>
      <w:proofErr w:type="spellEnd"/>
      <w:r w:rsidRPr="005D08A6">
        <w:rPr>
          <w:rStyle w:val="nlmarticle-title"/>
          <w:rFonts w:cs="Times New Roman"/>
          <w:color w:val="000000"/>
          <w:szCs w:val="24"/>
          <w:shd w:val="clear" w:color="auto" w:fill="FFFFFF"/>
        </w:rPr>
        <w:t>.</w:t>
      </w:r>
      <w:r w:rsidRPr="005D08A6">
        <w:rPr>
          <w:rFonts w:cs="Times New Roman"/>
          <w:szCs w:val="24"/>
          <w:shd w:val="clear" w:color="auto" w:fill="FFFFFF"/>
        </w:rPr>
        <w:t> </w:t>
      </w:r>
      <w:r>
        <w:rPr>
          <w:rFonts w:cs="Times New Roman"/>
          <w:szCs w:val="24"/>
          <w:shd w:val="clear" w:color="auto" w:fill="FFFFFF"/>
        </w:rPr>
        <w:t xml:space="preserve">Barth, </w:t>
      </w:r>
      <w:r w:rsidRPr="005D08A6">
        <w:rPr>
          <w:rFonts w:cs="Times New Roman"/>
          <w:szCs w:val="24"/>
          <w:shd w:val="clear" w:color="auto" w:fill="FFFFFF"/>
        </w:rPr>
        <w:t>Leipzig</w:t>
      </w:r>
      <w:r>
        <w:rPr>
          <w:rFonts w:cs="Times New Roman"/>
          <w:szCs w:val="24"/>
          <w:shd w:val="clear" w:color="auto" w:fill="FFFFFF"/>
        </w:rPr>
        <w:t>.</w:t>
      </w:r>
    </w:p>
    <w:sectPr w:rsidR="00641980" w:rsidRPr="006419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FA3" w:rsidRDefault="00B76FA3">
      <w:r>
        <w:separator/>
      </w:r>
    </w:p>
  </w:endnote>
  <w:endnote w:type="continuationSeparator" w:id="0">
    <w:p w:rsidR="00B76FA3" w:rsidRDefault="00B7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iberationSerif">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752800"/>
      <w:docPartObj>
        <w:docPartGallery w:val="Page Numbers (Bottom of Page)"/>
        <w:docPartUnique/>
      </w:docPartObj>
    </w:sdtPr>
    <w:sdtEndPr>
      <w:rPr>
        <w:noProof/>
      </w:rPr>
    </w:sdtEndPr>
    <w:sdtContent>
      <w:p w:rsidR="00E7247C" w:rsidRDefault="00E7247C">
        <w:pPr>
          <w:pStyle w:val="Footer"/>
          <w:jc w:val="center"/>
        </w:pPr>
        <w:r>
          <w:fldChar w:fldCharType="begin"/>
        </w:r>
        <w:r>
          <w:instrText xml:space="preserve"> PAGE   \* MERGEFORMAT </w:instrText>
        </w:r>
        <w:r>
          <w:fldChar w:fldCharType="separate"/>
        </w:r>
        <w:r w:rsidR="0073387C">
          <w:rPr>
            <w:noProof/>
          </w:rPr>
          <w:t>1</w:t>
        </w:r>
        <w:r>
          <w:rPr>
            <w:noProof/>
          </w:rPr>
          <w:fldChar w:fldCharType="end"/>
        </w:r>
      </w:p>
    </w:sdtContent>
  </w:sdt>
  <w:p w:rsidR="00E7247C" w:rsidRDefault="00E72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FA3" w:rsidRDefault="00B76FA3">
      <w:r>
        <w:separator/>
      </w:r>
    </w:p>
  </w:footnote>
  <w:footnote w:type="continuationSeparator" w:id="0">
    <w:p w:rsidR="00B76FA3" w:rsidRDefault="00B7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B02B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FE52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8EDD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44DA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B0F7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A6B4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CE62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96A2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843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C099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57E0F"/>
    <w:multiLevelType w:val="hybridMultilevel"/>
    <w:tmpl w:val="0742B11E"/>
    <w:lvl w:ilvl="0" w:tplc="59C43762">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6D2200"/>
    <w:multiLevelType w:val="multilevel"/>
    <w:tmpl w:val="20B6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53A4F"/>
    <w:multiLevelType w:val="hybridMultilevel"/>
    <w:tmpl w:val="AFFAA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C4532"/>
    <w:multiLevelType w:val="hybridMultilevel"/>
    <w:tmpl w:val="AC88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62"/>
    <w:rsid w:val="00010A07"/>
    <w:rsid w:val="00011733"/>
    <w:rsid w:val="00031B43"/>
    <w:rsid w:val="00032DCA"/>
    <w:rsid w:val="00037A47"/>
    <w:rsid w:val="00043448"/>
    <w:rsid w:val="00047E8E"/>
    <w:rsid w:val="00052868"/>
    <w:rsid w:val="00054D6E"/>
    <w:rsid w:val="00057EE4"/>
    <w:rsid w:val="00060CF5"/>
    <w:rsid w:val="00062DFE"/>
    <w:rsid w:val="00070F08"/>
    <w:rsid w:val="00073135"/>
    <w:rsid w:val="00077020"/>
    <w:rsid w:val="00086C75"/>
    <w:rsid w:val="00093824"/>
    <w:rsid w:val="000B1484"/>
    <w:rsid w:val="000B42CA"/>
    <w:rsid w:val="000B7D41"/>
    <w:rsid w:val="000C0210"/>
    <w:rsid w:val="000D0471"/>
    <w:rsid w:val="000D1051"/>
    <w:rsid w:val="000E125A"/>
    <w:rsid w:val="000E55E3"/>
    <w:rsid w:val="000F500D"/>
    <w:rsid w:val="00106CC7"/>
    <w:rsid w:val="001121B5"/>
    <w:rsid w:val="001151F5"/>
    <w:rsid w:val="00115443"/>
    <w:rsid w:val="00117033"/>
    <w:rsid w:val="001279D8"/>
    <w:rsid w:val="00130B36"/>
    <w:rsid w:val="001365D4"/>
    <w:rsid w:val="00140864"/>
    <w:rsid w:val="00142207"/>
    <w:rsid w:val="00142BC3"/>
    <w:rsid w:val="00143B70"/>
    <w:rsid w:val="001532B9"/>
    <w:rsid w:val="00160722"/>
    <w:rsid w:val="0016255E"/>
    <w:rsid w:val="00167B0A"/>
    <w:rsid w:val="0017034A"/>
    <w:rsid w:val="0017123E"/>
    <w:rsid w:val="0017379D"/>
    <w:rsid w:val="00191531"/>
    <w:rsid w:val="00193085"/>
    <w:rsid w:val="001A1A55"/>
    <w:rsid w:val="001A5F6F"/>
    <w:rsid w:val="001B4EF2"/>
    <w:rsid w:val="001B5AFA"/>
    <w:rsid w:val="001C2810"/>
    <w:rsid w:val="001D43B3"/>
    <w:rsid w:val="001E47BB"/>
    <w:rsid w:val="001E5C75"/>
    <w:rsid w:val="001E6701"/>
    <w:rsid w:val="001F20F6"/>
    <w:rsid w:val="001F3E34"/>
    <w:rsid w:val="00203C9E"/>
    <w:rsid w:val="002064D2"/>
    <w:rsid w:val="00206649"/>
    <w:rsid w:val="002303E5"/>
    <w:rsid w:val="00232F4A"/>
    <w:rsid w:val="00256547"/>
    <w:rsid w:val="00262D45"/>
    <w:rsid w:val="00267C46"/>
    <w:rsid w:val="002938EB"/>
    <w:rsid w:val="002A23A4"/>
    <w:rsid w:val="002A543A"/>
    <w:rsid w:val="002B02DB"/>
    <w:rsid w:val="002B1BD7"/>
    <w:rsid w:val="002C1376"/>
    <w:rsid w:val="002C4A00"/>
    <w:rsid w:val="002D2C36"/>
    <w:rsid w:val="002D3DE9"/>
    <w:rsid w:val="002F0511"/>
    <w:rsid w:val="002F4C7C"/>
    <w:rsid w:val="00301EFD"/>
    <w:rsid w:val="00310334"/>
    <w:rsid w:val="00310B9B"/>
    <w:rsid w:val="00315889"/>
    <w:rsid w:val="00316429"/>
    <w:rsid w:val="00316C1C"/>
    <w:rsid w:val="00323746"/>
    <w:rsid w:val="00326295"/>
    <w:rsid w:val="00331299"/>
    <w:rsid w:val="00341649"/>
    <w:rsid w:val="00342AE3"/>
    <w:rsid w:val="00346273"/>
    <w:rsid w:val="003511CF"/>
    <w:rsid w:val="0036026E"/>
    <w:rsid w:val="00370F8B"/>
    <w:rsid w:val="00375095"/>
    <w:rsid w:val="0038180F"/>
    <w:rsid w:val="00394775"/>
    <w:rsid w:val="003B0E2B"/>
    <w:rsid w:val="003B3312"/>
    <w:rsid w:val="003B7E24"/>
    <w:rsid w:val="003D4E0F"/>
    <w:rsid w:val="003D5308"/>
    <w:rsid w:val="003D5917"/>
    <w:rsid w:val="003D7F5B"/>
    <w:rsid w:val="003E0193"/>
    <w:rsid w:val="003E4DFD"/>
    <w:rsid w:val="003F227F"/>
    <w:rsid w:val="003F2C6A"/>
    <w:rsid w:val="00403BFB"/>
    <w:rsid w:val="00406F21"/>
    <w:rsid w:val="00417B22"/>
    <w:rsid w:val="00421504"/>
    <w:rsid w:val="004277A1"/>
    <w:rsid w:val="00427C3B"/>
    <w:rsid w:val="00432C95"/>
    <w:rsid w:val="0043734A"/>
    <w:rsid w:val="004413EA"/>
    <w:rsid w:val="00442923"/>
    <w:rsid w:val="004500DA"/>
    <w:rsid w:val="00450A4A"/>
    <w:rsid w:val="00451221"/>
    <w:rsid w:val="00451BA6"/>
    <w:rsid w:val="00455D8D"/>
    <w:rsid w:val="00457752"/>
    <w:rsid w:val="00466E03"/>
    <w:rsid w:val="004725B7"/>
    <w:rsid w:val="004728E9"/>
    <w:rsid w:val="00472D21"/>
    <w:rsid w:val="00473ECD"/>
    <w:rsid w:val="00474CC6"/>
    <w:rsid w:val="0047719A"/>
    <w:rsid w:val="0047766D"/>
    <w:rsid w:val="004815A7"/>
    <w:rsid w:val="00483689"/>
    <w:rsid w:val="00486BD0"/>
    <w:rsid w:val="00493E6E"/>
    <w:rsid w:val="00494434"/>
    <w:rsid w:val="00496F34"/>
    <w:rsid w:val="004A0D32"/>
    <w:rsid w:val="004B0FC7"/>
    <w:rsid w:val="004B15E1"/>
    <w:rsid w:val="004B369C"/>
    <w:rsid w:val="004B6369"/>
    <w:rsid w:val="004B6BE2"/>
    <w:rsid w:val="004C00D0"/>
    <w:rsid w:val="004C7AE8"/>
    <w:rsid w:val="004E75A0"/>
    <w:rsid w:val="004F3C39"/>
    <w:rsid w:val="004F62D3"/>
    <w:rsid w:val="005117CB"/>
    <w:rsid w:val="00516B9B"/>
    <w:rsid w:val="005265CC"/>
    <w:rsid w:val="00532E51"/>
    <w:rsid w:val="00533A98"/>
    <w:rsid w:val="005504AA"/>
    <w:rsid w:val="00550F6F"/>
    <w:rsid w:val="00552C1A"/>
    <w:rsid w:val="00554753"/>
    <w:rsid w:val="00556EAC"/>
    <w:rsid w:val="005570B4"/>
    <w:rsid w:val="0056657B"/>
    <w:rsid w:val="00571385"/>
    <w:rsid w:val="00583CE4"/>
    <w:rsid w:val="005848C4"/>
    <w:rsid w:val="00586F4D"/>
    <w:rsid w:val="00592590"/>
    <w:rsid w:val="00592723"/>
    <w:rsid w:val="005A0A03"/>
    <w:rsid w:val="005A0B06"/>
    <w:rsid w:val="005A1C1B"/>
    <w:rsid w:val="005B1D0D"/>
    <w:rsid w:val="005B6471"/>
    <w:rsid w:val="005C3562"/>
    <w:rsid w:val="005C5305"/>
    <w:rsid w:val="005D08A6"/>
    <w:rsid w:val="005D4BEE"/>
    <w:rsid w:val="005D57CB"/>
    <w:rsid w:val="005E1BAE"/>
    <w:rsid w:val="005F061B"/>
    <w:rsid w:val="006011F5"/>
    <w:rsid w:val="006052FF"/>
    <w:rsid w:val="00605381"/>
    <w:rsid w:val="0061036C"/>
    <w:rsid w:val="00611A33"/>
    <w:rsid w:val="00615DCB"/>
    <w:rsid w:val="00622B3C"/>
    <w:rsid w:val="00626740"/>
    <w:rsid w:val="00630FF8"/>
    <w:rsid w:val="00640499"/>
    <w:rsid w:val="00641980"/>
    <w:rsid w:val="00642B2E"/>
    <w:rsid w:val="0065149C"/>
    <w:rsid w:val="00662D84"/>
    <w:rsid w:val="00665B88"/>
    <w:rsid w:val="00666234"/>
    <w:rsid w:val="00673CE1"/>
    <w:rsid w:val="006773A7"/>
    <w:rsid w:val="0067761B"/>
    <w:rsid w:val="00682AAA"/>
    <w:rsid w:val="00687CD3"/>
    <w:rsid w:val="00690D4D"/>
    <w:rsid w:val="006935A3"/>
    <w:rsid w:val="0069746E"/>
    <w:rsid w:val="006A1706"/>
    <w:rsid w:val="006A535E"/>
    <w:rsid w:val="006B4335"/>
    <w:rsid w:val="006C345A"/>
    <w:rsid w:val="006C4987"/>
    <w:rsid w:val="006C5599"/>
    <w:rsid w:val="006C6AEE"/>
    <w:rsid w:val="006D2500"/>
    <w:rsid w:val="006E005D"/>
    <w:rsid w:val="006E0790"/>
    <w:rsid w:val="006E148F"/>
    <w:rsid w:val="006F40FE"/>
    <w:rsid w:val="006F5111"/>
    <w:rsid w:val="007004AE"/>
    <w:rsid w:val="007032D4"/>
    <w:rsid w:val="007050FD"/>
    <w:rsid w:val="007064FC"/>
    <w:rsid w:val="00706ED3"/>
    <w:rsid w:val="007126BC"/>
    <w:rsid w:val="007129CE"/>
    <w:rsid w:val="00732A16"/>
    <w:rsid w:val="0073387C"/>
    <w:rsid w:val="00745F59"/>
    <w:rsid w:val="0075374C"/>
    <w:rsid w:val="00755CB6"/>
    <w:rsid w:val="00762BD7"/>
    <w:rsid w:val="00767D31"/>
    <w:rsid w:val="00775639"/>
    <w:rsid w:val="00776CDC"/>
    <w:rsid w:val="00782ACE"/>
    <w:rsid w:val="007A07AE"/>
    <w:rsid w:val="007B12C4"/>
    <w:rsid w:val="007B2997"/>
    <w:rsid w:val="007B7949"/>
    <w:rsid w:val="007C40B2"/>
    <w:rsid w:val="007E245A"/>
    <w:rsid w:val="007E6459"/>
    <w:rsid w:val="007F6325"/>
    <w:rsid w:val="008046EB"/>
    <w:rsid w:val="008104A9"/>
    <w:rsid w:val="0081236A"/>
    <w:rsid w:val="008242C7"/>
    <w:rsid w:val="00826420"/>
    <w:rsid w:val="00827DB2"/>
    <w:rsid w:val="00830296"/>
    <w:rsid w:val="0083459E"/>
    <w:rsid w:val="00841B44"/>
    <w:rsid w:val="00855283"/>
    <w:rsid w:val="008629DF"/>
    <w:rsid w:val="00867073"/>
    <w:rsid w:val="008868AD"/>
    <w:rsid w:val="00890658"/>
    <w:rsid w:val="008912EF"/>
    <w:rsid w:val="008925F0"/>
    <w:rsid w:val="008B0D83"/>
    <w:rsid w:val="008B68ED"/>
    <w:rsid w:val="008B7A09"/>
    <w:rsid w:val="008C190F"/>
    <w:rsid w:val="008C3538"/>
    <w:rsid w:val="008E0C1B"/>
    <w:rsid w:val="008F37C5"/>
    <w:rsid w:val="008F5D3B"/>
    <w:rsid w:val="00910965"/>
    <w:rsid w:val="0091160C"/>
    <w:rsid w:val="009178FF"/>
    <w:rsid w:val="0092097C"/>
    <w:rsid w:val="00935D6F"/>
    <w:rsid w:val="00936A8C"/>
    <w:rsid w:val="009416F6"/>
    <w:rsid w:val="00943F00"/>
    <w:rsid w:val="00951161"/>
    <w:rsid w:val="009524DE"/>
    <w:rsid w:val="00956490"/>
    <w:rsid w:val="00962F97"/>
    <w:rsid w:val="009640F0"/>
    <w:rsid w:val="00965CD2"/>
    <w:rsid w:val="009779EA"/>
    <w:rsid w:val="0098265A"/>
    <w:rsid w:val="00995753"/>
    <w:rsid w:val="009C4D9B"/>
    <w:rsid w:val="009D2BFB"/>
    <w:rsid w:val="009E06AB"/>
    <w:rsid w:val="009E0D9F"/>
    <w:rsid w:val="009E1B5D"/>
    <w:rsid w:val="009E2647"/>
    <w:rsid w:val="009E791F"/>
    <w:rsid w:val="009E7CEB"/>
    <w:rsid w:val="009F0445"/>
    <w:rsid w:val="009F144A"/>
    <w:rsid w:val="009F675E"/>
    <w:rsid w:val="00A07B0A"/>
    <w:rsid w:val="00A22D20"/>
    <w:rsid w:val="00A23DDD"/>
    <w:rsid w:val="00A325D3"/>
    <w:rsid w:val="00A36159"/>
    <w:rsid w:val="00A419B3"/>
    <w:rsid w:val="00A5284B"/>
    <w:rsid w:val="00A52F26"/>
    <w:rsid w:val="00A53805"/>
    <w:rsid w:val="00A54187"/>
    <w:rsid w:val="00A573E3"/>
    <w:rsid w:val="00A6005F"/>
    <w:rsid w:val="00A61382"/>
    <w:rsid w:val="00A63A1A"/>
    <w:rsid w:val="00A87735"/>
    <w:rsid w:val="00A9722B"/>
    <w:rsid w:val="00AA48B6"/>
    <w:rsid w:val="00AB16C5"/>
    <w:rsid w:val="00AB5C03"/>
    <w:rsid w:val="00AB647C"/>
    <w:rsid w:val="00AB7C2F"/>
    <w:rsid w:val="00AC57FD"/>
    <w:rsid w:val="00AD6209"/>
    <w:rsid w:val="00AD789E"/>
    <w:rsid w:val="00AE17EE"/>
    <w:rsid w:val="00AE236E"/>
    <w:rsid w:val="00AE5685"/>
    <w:rsid w:val="00AF30AF"/>
    <w:rsid w:val="00B06E3D"/>
    <w:rsid w:val="00B10600"/>
    <w:rsid w:val="00B136E2"/>
    <w:rsid w:val="00B14804"/>
    <w:rsid w:val="00B15FC1"/>
    <w:rsid w:val="00B22360"/>
    <w:rsid w:val="00B3242F"/>
    <w:rsid w:val="00B32646"/>
    <w:rsid w:val="00B331D2"/>
    <w:rsid w:val="00B35F26"/>
    <w:rsid w:val="00B44697"/>
    <w:rsid w:val="00B5352D"/>
    <w:rsid w:val="00B65921"/>
    <w:rsid w:val="00B67F2F"/>
    <w:rsid w:val="00B76FA3"/>
    <w:rsid w:val="00B800BF"/>
    <w:rsid w:val="00B83CD5"/>
    <w:rsid w:val="00B84ABC"/>
    <w:rsid w:val="00B86C3A"/>
    <w:rsid w:val="00B8781D"/>
    <w:rsid w:val="00B93042"/>
    <w:rsid w:val="00B976DD"/>
    <w:rsid w:val="00BA1921"/>
    <w:rsid w:val="00BA5E8C"/>
    <w:rsid w:val="00BA7788"/>
    <w:rsid w:val="00BB362E"/>
    <w:rsid w:val="00BC06D8"/>
    <w:rsid w:val="00BC0FBF"/>
    <w:rsid w:val="00BC4EDD"/>
    <w:rsid w:val="00BE0362"/>
    <w:rsid w:val="00BE1A57"/>
    <w:rsid w:val="00BF28BD"/>
    <w:rsid w:val="00BF4EA4"/>
    <w:rsid w:val="00BF6A98"/>
    <w:rsid w:val="00C00A20"/>
    <w:rsid w:val="00C024CF"/>
    <w:rsid w:val="00C0556C"/>
    <w:rsid w:val="00C132EE"/>
    <w:rsid w:val="00C14029"/>
    <w:rsid w:val="00C22EE8"/>
    <w:rsid w:val="00C2645C"/>
    <w:rsid w:val="00C27224"/>
    <w:rsid w:val="00C315C2"/>
    <w:rsid w:val="00C31E9F"/>
    <w:rsid w:val="00C418CF"/>
    <w:rsid w:val="00C4191B"/>
    <w:rsid w:val="00C50840"/>
    <w:rsid w:val="00C50AF3"/>
    <w:rsid w:val="00C50F67"/>
    <w:rsid w:val="00C51A08"/>
    <w:rsid w:val="00C52DC8"/>
    <w:rsid w:val="00C62BA6"/>
    <w:rsid w:val="00C66EC4"/>
    <w:rsid w:val="00C70A7A"/>
    <w:rsid w:val="00C726DD"/>
    <w:rsid w:val="00C77750"/>
    <w:rsid w:val="00C77AD5"/>
    <w:rsid w:val="00C82212"/>
    <w:rsid w:val="00C900FB"/>
    <w:rsid w:val="00CB102F"/>
    <w:rsid w:val="00CB1ABB"/>
    <w:rsid w:val="00CB45DB"/>
    <w:rsid w:val="00CB49F0"/>
    <w:rsid w:val="00CD2585"/>
    <w:rsid w:val="00CD6EBE"/>
    <w:rsid w:val="00CE1426"/>
    <w:rsid w:val="00CE19CC"/>
    <w:rsid w:val="00CE7F37"/>
    <w:rsid w:val="00CF3509"/>
    <w:rsid w:val="00CF3C03"/>
    <w:rsid w:val="00CF7137"/>
    <w:rsid w:val="00D02D53"/>
    <w:rsid w:val="00D04186"/>
    <w:rsid w:val="00D06305"/>
    <w:rsid w:val="00D06707"/>
    <w:rsid w:val="00D1042E"/>
    <w:rsid w:val="00D23950"/>
    <w:rsid w:val="00D379E6"/>
    <w:rsid w:val="00D41FFA"/>
    <w:rsid w:val="00D42D66"/>
    <w:rsid w:val="00D47A5B"/>
    <w:rsid w:val="00D51A62"/>
    <w:rsid w:val="00D60E3A"/>
    <w:rsid w:val="00D62B0B"/>
    <w:rsid w:val="00D96130"/>
    <w:rsid w:val="00DA6314"/>
    <w:rsid w:val="00DA702E"/>
    <w:rsid w:val="00DA7234"/>
    <w:rsid w:val="00DA724D"/>
    <w:rsid w:val="00DB7104"/>
    <w:rsid w:val="00DB725B"/>
    <w:rsid w:val="00DC6903"/>
    <w:rsid w:val="00DD1CDA"/>
    <w:rsid w:val="00DF4780"/>
    <w:rsid w:val="00E05025"/>
    <w:rsid w:val="00E05926"/>
    <w:rsid w:val="00E0798D"/>
    <w:rsid w:val="00E11468"/>
    <w:rsid w:val="00E14DA4"/>
    <w:rsid w:val="00E15629"/>
    <w:rsid w:val="00E16D36"/>
    <w:rsid w:val="00E20A84"/>
    <w:rsid w:val="00E26051"/>
    <w:rsid w:val="00E307B4"/>
    <w:rsid w:val="00E327E1"/>
    <w:rsid w:val="00E336C2"/>
    <w:rsid w:val="00E344CF"/>
    <w:rsid w:val="00E367D5"/>
    <w:rsid w:val="00E437B3"/>
    <w:rsid w:val="00E44234"/>
    <w:rsid w:val="00E4735A"/>
    <w:rsid w:val="00E53D4E"/>
    <w:rsid w:val="00E64315"/>
    <w:rsid w:val="00E7247C"/>
    <w:rsid w:val="00E8126B"/>
    <w:rsid w:val="00E84DBF"/>
    <w:rsid w:val="00E91DF8"/>
    <w:rsid w:val="00E96AB9"/>
    <w:rsid w:val="00EA6078"/>
    <w:rsid w:val="00EB23DC"/>
    <w:rsid w:val="00EB3D1F"/>
    <w:rsid w:val="00EB6041"/>
    <w:rsid w:val="00EB67DE"/>
    <w:rsid w:val="00EC1813"/>
    <w:rsid w:val="00EC2013"/>
    <w:rsid w:val="00ED2884"/>
    <w:rsid w:val="00EE3328"/>
    <w:rsid w:val="00EE684B"/>
    <w:rsid w:val="00F054CE"/>
    <w:rsid w:val="00F06073"/>
    <w:rsid w:val="00F1353B"/>
    <w:rsid w:val="00F13A40"/>
    <w:rsid w:val="00F145DC"/>
    <w:rsid w:val="00F150E7"/>
    <w:rsid w:val="00F23EDE"/>
    <w:rsid w:val="00F244B0"/>
    <w:rsid w:val="00F34853"/>
    <w:rsid w:val="00F44739"/>
    <w:rsid w:val="00F51365"/>
    <w:rsid w:val="00F65F03"/>
    <w:rsid w:val="00F70ED6"/>
    <w:rsid w:val="00F71726"/>
    <w:rsid w:val="00F7313C"/>
    <w:rsid w:val="00F818DC"/>
    <w:rsid w:val="00F82D37"/>
    <w:rsid w:val="00F85580"/>
    <w:rsid w:val="00F9073E"/>
    <w:rsid w:val="00F90F4E"/>
    <w:rsid w:val="00F931E9"/>
    <w:rsid w:val="00FA0AC9"/>
    <w:rsid w:val="00FA78B3"/>
    <w:rsid w:val="00FB1A23"/>
    <w:rsid w:val="00FB5389"/>
    <w:rsid w:val="00FB6F73"/>
    <w:rsid w:val="00FC082E"/>
    <w:rsid w:val="00FC0AB7"/>
    <w:rsid w:val="00FD0933"/>
    <w:rsid w:val="00FE1693"/>
    <w:rsid w:val="00FE536D"/>
    <w:rsid w:val="00FF5B21"/>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FA3D"/>
  <w15:chartTrackingRefBased/>
  <w15:docId w15:val="{DC26E492-B684-4DDD-973C-47804B4E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3E5"/>
    <w:pPr>
      <w:spacing w:after="0" w:line="240" w:lineRule="auto"/>
      <w:ind w:firstLine="346"/>
      <w:jc w:val="both"/>
    </w:pPr>
    <w:rPr>
      <w:rFonts w:ascii="Times New Roman" w:hAnsi="Times New Roman"/>
      <w:sz w:val="24"/>
    </w:rPr>
  </w:style>
  <w:style w:type="paragraph" w:styleId="Heading1">
    <w:name w:val="heading 1"/>
    <w:basedOn w:val="ListParagraph"/>
    <w:next w:val="Normal"/>
    <w:link w:val="Heading1Char"/>
    <w:uiPriority w:val="9"/>
    <w:qFormat/>
    <w:rsid w:val="00B5352D"/>
    <w:pPr>
      <w:numPr>
        <w:numId w:val="3"/>
      </w:numPr>
      <w:spacing w:before="240"/>
      <w:outlineLvl w:val="0"/>
    </w:pPr>
    <w:rPr>
      <w:b/>
      <w:szCs w:val="24"/>
    </w:rPr>
  </w:style>
  <w:style w:type="paragraph" w:styleId="Heading2">
    <w:name w:val="heading 2"/>
    <w:basedOn w:val="Normal"/>
    <w:next w:val="Normal"/>
    <w:link w:val="Heading2Char"/>
    <w:uiPriority w:val="9"/>
    <w:unhideWhenUsed/>
    <w:qFormat/>
    <w:rsid w:val="00B535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8180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362"/>
    <w:pPr>
      <w:ind w:left="720"/>
      <w:contextualSpacing/>
    </w:pPr>
  </w:style>
  <w:style w:type="character" w:customStyle="1" w:styleId="fontstyle01">
    <w:name w:val="fontstyle01"/>
    <w:basedOn w:val="DefaultParagraphFont"/>
    <w:rsid w:val="00BE0362"/>
    <w:rPr>
      <w:rFonts w:ascii="LiberationSerif" w:hAnsi="LiberationSerif" w:hint="default"/>
      <w:b w:val="0"/>
      <w:bCs w:val="0"/>
      <w:i w:val="0"/>
      <w:iCs w:val="0"/>
      <w:color w:val="00000A"/>
      <w:sz w:val="24"/>
      <w:szCs w:val="24"/>
    </w:rPr>
  </w:style>
  <w:style w:type="character" w:styleId="Hyperlink">
    <w:name w:val="Hyperlink"/>
    <w:basedOn w:val="DefaultParagraphFont"/>
    <w:uiPriority w:val="99"/>
    <w:unhideWhenUsed/>
    <w:rsid w:val="00BE0362"/>
    <w:rPr>
      <w:color w:val="0000FF"/>
      <w:u w:val="single"/>
    </w:rPr>
  </w:style>
  <w:style w:type="paragraph" w:styleId="NormalWeb">
    <w:name w:val="Normal (Web)"/>
    <w:basedOn w:val="Normal"/>
    <w:uiPriority w:val="99"/>
    <w:unhideWhenUsed/>
    <w:rsid w:val="00BE0362"/>
    <w:pPr>
      <w:spacing w:before="100" w:beforeAutospacing="1" w:after="100" w:afterAutospacing="1"/>
    </w:pPr>
    <w:rPr>
      <w:rFonts w:eastAsia="Times New Roman" w:cs="Times New Roman"/>
      <w:szCs w:val="24"/>
    </w:rPr>
  </w:style>
  <w:style w:type="paragraph" w:styleId="Footer">
    <w:name w:val="footer"/>
    <w:basedOn w:val="Normal"/>
    <w:link w:val="FooterChar"/>
    <w:uiPriority w:val="99"/>
    <w:unhideWhenUsed/>
    <w:rsid w:val="00BE0362"/>
    <w:pPr>
      <w:tabs>
        <w:tab w:val="center" w:pos="4680"/>
        <w:tab w:val="right" w:pos="9360"/>
      </w:tabs>
    </w:pPr>
  </w:style>
  <w:style w:type="character" w:customStyle="1" w:styleId="FooterChar">
    <w:name w:val="Footer Char"/>
    <w:basedOn w:val="DefaultParagraphFont"/>
    <w:link w:val="Footer"/>
    <w:uiPriority w:val="99"/>
    <w:rsid w:val="00BE0362"/>
  </w:style>
  <w:style w:type="character" w:customStyle="1" w:styleId="UnresolvedMention1">
    <w:name w:val="Unresolved Mention1"/>
    <w:basedOn w:val="DefaultParagraphFont"/>
    <w:uiPriority w:val="99"/>
    <w:semiHidden/>
    <w:unhideWhenUsed/>
    <w:rsid w:val="00FA78B3"/>
    <w:rPr>
      <w:color w:val="808080"/>
      <w:shd w:val="clear" w:color="auto" w:fill="E6E6E6"/>
    </w:rPr>
  </w:style>
  <w:style w:type="character" w:styleId="FollowedHyperlink">
    <w:name w:val="FollowedHyperlink"/>
    <w:basedOn w:val="DefaultParagraphFont"/>
    <w:uiPriority w:val="99"/>
    <w:semiHidden/>
    <w:unhideWhenUsed/>
    <w:rsid w:val="004B6369"/>
    <w:rPr>
      <w:color w:val="800080" w:themeColor="followedHyperlink"/>
      <w:u w:val="single"/>
    </w:rPr>
  </w:style>
  <w:style w:type="character" w:customStyle="1" w:styleId="nlmgiven-names">
    <w:name w:val="nlm_given-names"/>
    <w:basedOn w:val="DefaultParagraphFont"/>
    <w:rsid w:val="004B6369"/>
  </w:style>
  <w:style w:type="character" w:customStyle="1" w:styleId="nlmyear">
    <w:name w:val="nlm_year"/>
    <w:basedOn w:val="DefaultParagraphFont"/>
    <w:rsid w:val="004B6369"/>
  </w:style>
  <w:style w:type="character" w:customStyle="1" w:styleId="nlmarticle-title">
    <w:name w:val="nlm_article-title"/>
    <w:basedOn w:val="DefaultParagraphFont"/>
    <w:rsid w:val="004B6369"/>
  </w:style>
  <w:style w:type="character" w:customStyle="1" w:styleId="nlmfpage">
    <w:name w:val="nlm_fpage"/>
    <w:basedOn w:val="DefaultParagraphFont"/>
    <w:rsid w:val="004B6369"/>
  </w:style>
  <w:style w:type="character" w:customStyle="1" w:styleId="nlmlpage">
    <w:name w:val="nlm_lpage"/>
    <w:basedOn w:val="DefaultParagraphFont"/>
    <w:rsid w:val="004B6369"/>
  </w:style>
  <w:style w:type="paragraph" w:customStyle="1" w:styleId="FigureCaption">
    <w:name w:val="FigureCaption"/>
    <w:basedOn w:val="Normal"/>
    <w:qFormat/>
    <w:rsid w:val="0073387C"/>
    <w:pPr>
      <w:ind w:firstLine="0"/>
      <w:jc w:val="left"/>
    </w:pPr>
  </w:style>
  <w:style w:type="paragraph" w:customStyle="1" w:styleId="Figure">
    <w:name w:val="Figure"/>
    <w:basedOn w:val="Normal"/>
    <w:qFormat/>
    <w:rsid w:val="00A07B0A"/>
    <w:pPr>
      <w:ind w:firstLine="0"/>
      <w:jc w:val="center"/>
    </w:pPr>
    <w:rPr>
      <w:noProof/>
    </w:rPr>
  </w:style>
  <w:style w:type="character" w:customStyle="1" w:styleId="Heading1Char">
    <w:name w:val="Heading 1 Char"/>
    <w:basedOn w:val="DefaultParagraphFont"/>
    <w:link w:val="Heading1"/>
    <w:uiPriority w:val="9"/>
    <w:rsid w:val="00B5352D"/>
    <w:rPr>
      <w:rFonts w:ascii="Times New Roman" w:hAnsi="Times New Roman"/>
      <w:b/>
      <w:sz w:val="24"/>
      <w:szCs w:val="24"/>
    </w:rPr>
  </w:style>
  <w:style w:type="paragraph" w:styleId="Title">
    <w:name w:val="Title"/>
    <w:basedOn w:val="Normal"/>
    <w:next w:val="Normal"/>
    <w:link w:val="TitleChar"/>
    <w:uiPriority w:val="10"/>
    <w:qFormat/>
    <w:rsid w:val="002303E5"/>
    <w:pPr>
      <w:spacing w:after="960"/>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2303E5"/>
    <w:rPr>
      <w:rFonts w:ascii="Times New Roman" w:eastAsiaTheme="majorEastAsia" w:hAnsi="Times New Roman" w:cstheme="majorBidi"/>
      <w:spacing w:val="-10"/>
      <w:kern w:val="28"/>
      <w:sz w:val="28"/>
      <w:szCs w:val="56"/>
    </w:rPr>
  </w:style>
  <w:style w:type="paragraph" w:styleId="Caption">
    <w:name w:val="caption"/>
    <w:basedOn w:val="FigureCaption"/>
    <w:next w:val="Normal"/>
    <w:uiPriority w:val="35"/>
    <w:unhideWhenUsed/>
    <w:qFormat/>
    <w:rsid w:val="009E06AB"/>
  </w:style>
  <w:style w:type="character" w:styleId="PlaceholderText">
    <w:name w:val="Placeholder Text"/>
    <w:basedOn w:val="DefaultParagraphFont"/>
    <w:uiPriority w:val="99"/>
    <w:semiHidden/>
    <w:rsid w:val="00855283"/>
    <w:rPr>
      <w:color w:val="808080"/>
    </w:rPr>
  </w:style>
  <w:style w:type="character" w:customStyle="1" w:styleId="Heading2Char">
    <w:name w:val="Heading 2 Char"/>
    <w:basedOn w:val="DefaultParagraphFont"/>
    <w:link w:val="Heading2"/>
    <w:uiPriority w:val="9"/>
    <w:rsid w:val="00B535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8180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61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532B9"/>
    <w:pPr>
      <w:spacing w:before="100" w:beforeAutospacing="1" w:after="100" w:afterAutospacing="1"/>
      <w:ind w:firstLine="0"/>
      <w:jc w:val="left"/>
    </w:pPr>
    <w:rPr>
      <w:rFonts w:eastAsia="Times New Roman" w:cs="Times New Roman"/>
      <w:szCs w:val="24"/>
    </w:rPr>
  </w:style>
  <w:style w:type="character" w:customStyle="1" w:styleId="UnresolvedMention">
    <w:name w:val="Unresolved Mention"/>
    <w:basedOn w:val="DefaultParagraphFont"/>
    <w:uiPriority w:val="99"/>
    <w:semiHidden/>
    <w:unhideWhenUsed/>
    <w:rsid w:val="002D2C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44193">
      <w:bodyDiv w:val="1"/>
      <w:marLeft w:val="0"/>
      <w:marRight w:val="0"/>
      <w:marTop w:val="0"/>
      <w:marBottom w:val="0"/>
      <w:divBdr>
        <w:top w:val="none" w:sz="0" w:space="0" w:color="auto"/>
        <w:left w:val="none" w:sz="0" w:space="0" w:color="auto"/>
        <w:bottom w:val="none" w:sz="0" w:space="0" w:color="auto"/>
        <w:right w:val="none" w:sz="0" w:space="0" w:color="auto"/>
      </w:divBdr>
    </w:div>
    <w:div w:id="464011632">
      <w:bodyDiv w:val="1"/>
      <w:marLeft w:val="0"/>
      <w:marRight w:val="0"/>
      <w:marTop w:val="0"/>
      <w:marBottom w:val="0"/>
      <w:divBdr>
        <w:top w:val="none" w:sz="0" w:space="0" w:color="auto"/>
        <w:left w:val="none" w:sz="0" w:space="0" w:color="auto"/>
        <w:bottom w:val="none" w:sz="0" w:space="0" w:color="auto"/>
        <w:right w:val="none" w:sz="0" w:space="0" w:color="auto"/>
      </w:divBdr>
    </w:div>
    <w:div w:id="484930191">
      <w:bodyDiv w:val="1"/>
      <w:marLeft w:val="0"/>
      <w:marRight w:val="0"/>
      <w:marTop w:val="0"/>
      <w:marBottom w:val="0"/>
      <w:divBdr>
        <w:top w:val="none" w:sz="0" w:space="0" w:color="auto"/>
        <w:left w:val="none" w:sz="0" w:space="0" w:color="auto"/>
        <w:bottom w:val="none" w:sz="0" w:space="0" w:color="auto"/>
        <w:right w:val="none" w:sz="0" w:space="0" w:color="auto"/>
      </w:divBdr>
    </w:div>
    <w:div w:id="595750381">
      <w:bodyDiv w:val="1"/>
      <w:marLeft w:val="0"/>
      <w:marRight w:val="0"/>
      <w:marTop w:val="0"/>
      <w:marBottom w:val="0"/>
      <w:divBdr>
        <w:top w:val="none" w:sz="0" w:space="0" w:color="auto"/>
        <w:left w:val="none" w:sz="0" w:space="0" w:color="auto"/>
        <w:bottom w:val="none" w:sz="0" w:space="0" w:color="auto"/>
        <w:right w:val="none" w:sz="0" w:space="0" w:color="auto"/>
      </w:divBdr>
    </w:div>
    <w:div w:id="671834539">
      <w:bodyDiv w:val="1"/>
      <w:marLeft w:val="0"/>
      <w:marRight w:val="0"/>
      <w:marTop w:val="0"/>
      <w:marBottom w:val="0"/>
      <w:divBdr>
        <w:top w:val="none" w:sz="0" w:space="0" w:color="auto"/>
        <w:left w:val="none" w:sz="0" w:space="0" w:color="auto"/>
        <w:bottom w:val="none" w:sz="0" w:space="0" w:color="auto"/>
        <w:right w:val="none" w:sz="0" w:space="0" w:color="auto"/>
      </w:divBdr>
    </w:div>
    <w:div w:id="990602677">
      <w:bodyDiv w:val="1"/>
      <w:marLeft w:val="0"/>
      <w:marRight w:val="0"/>
      <w:marTop w:val="0"/>
      <w:marBottom w:val="0"/>
      <w:divBdr>
        <w:top w:val="none" w:sz="0" w:space="0" w:color="auto"/>
        <w:left w:val="none" w:sz="0" w:space="0" w:color="auto"/>
        <w:bottom w:val="none" w:sz="0" w:space="0" w:color="auto"/>
        <w:right w:val="none" w:sz="0" w:space="0" w:color="auto"/>
      </w:divBdr>
    </w:div>
    <w:div w:id="1222525140">
      <w:bodyDiv w:val="1"/>
      <w:marLeft w:val="0"/>
      <w:marRight w:val="0"/>
      <w:marTop w:val="0"/>
      <w:marBottom w:val="0"/>
      <w:divBdr>
        <w:top w:val="none" w:sz="0" w:space="0" w:color="auto"/>
        <w:left w:val="none" w:sz="0" w:space="0" w:color="auto"/>
        <w:bottom w:val="none" w:sz="0" w:space="0" w:color="auto"/>
        <w:right w:val="none" w:sz="0" w:space="0" w:color="auto"/>
      </w:divBdr>
    </w:div>
    <w:div w:id="1395665463">
      <w:bodyDiv w:val="1"/>
      <w:marLeft w:val="0"/>
      <w:marRight w:val="0"/>
      <w:marTop w:val="0"/>
      <w:marBottom w:val="0"/>
      <w:divBdr>
        <w:top w:val="none" w:sz="0" w:space="0" w:color="auto"/>
        <w:left w:val="none" w:sz="0" w:space="0" w:color="auto"/>
        <w:bottom w:val="none" w:sz="0" w:space="0" w:color="auto"/>
        <w:right w:val="none" w:sz="0" w:space="0" w:color="auto"/>
      </w:divBdr>
    </w:div>
    <w:div w:id="1596018483">
      <w:bodyDiv w:val="1"/>
      <w:marLeft w:val="0"/>
      <w:marRight w:val="0"/>
      <w:marTop w:val="0"/>
      <w:marBottom w:val="0"/>
      <w:divBdr>
        <w:top w:val="none" w:sz="0" w:space="0" w:color="auto"/>
        <w:left w:val="none" w:sz="0" w:space="0" w:color="auto"/>
        <w:bottom w:val="none" w:sz="0" w:space="0" w:color="auto"/>
        <w:right w:val="none" w:sz="0" w:space="0" w:color="auto"/>
      </w:divBdr>
    </w:div>
    <w:div w:id="1825658430">
      <w:bodyDiv w:val="1"/>
      <w:marLeft w:val="0"/>
      <w:marRight w:val="0"/>
      <w:marTop w:val="0"/>
      <w:marBottom w:val="0"/>
      <w:divBdr>
        <w:top w:val="none" w:sz="0" w:space="0" w:color="auto"/>
        <w:left w:val="none" w:sz="0" w:space="0" w:color="auto"/>
        <w:bottom w:val="none" w:sz="0" w:space="0" w:color="auto"/>
        <w:right w:val="none" w:sz="0" w:space="0" w:color="auto"/>
      </w:divBdr>
    </w:div>
    <w:div w:id="1941906852">
      <w:bodyDiv w:val="1"/>
      <w:marLeft w:val="0"/>
      <w:marRight w:val="0"/>
      <w:marTop w:val="0"/>
      <w:marBottom w:val="0"/>
      <w:divBdr>
        <w:top w:val="none" w:sz="0" w:space="0" w:color="auto"/>
        <w:left w:val="none" w:sz="0" w:space="0" w:color="auto"/>
        <w:bottom w:val="none" w:sz="0" w:space="0" w:color="auto"/>
        <w:right w:val="none" w:sz="0" w:space="0" w:color="auto"/>
      </w:divBdr>
    </w:div>
    <w:div w:id="21403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9A499-4662-4D90-A961-5767F8C0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courtz</dc:creator>
  <cp:keywords/>
  <dc:description/>
  <cp:lastModifiedBy>Windows User</cp:lastModifiedBy>
  <cp:revision>3</cp:revision>
  <cp:lastPrinted>2018-06-17T15:07:00Z</cp:lastPrinted>
  <dcterms:created xsi:type="dcterms:W3CDTF">2018-06-17T15:47:00Z</dcterms:created>
  <dcterms:modified xsi:type="dcterms:W3CDTF">2018-06-17T15:52:00Z</dcterms:modified>
</cp:coreProperties>
</file>