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1B9FA" w14:textId="3353A980" w:rsidR="00F25B07" w:rsidRPr="00CF0DF4" w:rsidRDefault="00FC0E7E" w:rsidP="007D4414">
      <w:pPr>
        <w:pStyle w:val="Title"/>
        <w:rPr>
          <w:lang w:val="en-US"/>
        </w:rPr>
      </w:pPr>
      <w:r w:rsidRPr="00CF0DF4">
        <w:rPr>
          <w:lang w:val="en-US"/>
        </w:rPr>
        <w:t>M</w:t>
      </w:r>
      <w:bookmarkStart w:id="0" w:name="_Ref103924810"/>
      <w:bookmarkEnd w:id="0"/>
      <w:r w:rsidRPr="00CF0DF4">
        <w:rPr>
          <w:lang w:val="en-US"/>
        </w:rPr>
        <w:t xml:space="preserve">ELTING LAYER ANALYSIS OF IN-SITU </w:t>
      </w:r>
      <w:r w:rsidR="00F33AE2" w:rsidRPr="00CF0DF4">
        <w:rPr>
          <w:lang w:val="en-US"/>
        </w:rPr>
        <w:t xml:space="preserve">OBSERVATIONS </w:t>
      </w:r>
      <w:r w:rsidRPr="00CF0DF4">
        <w:rPr>
          <w:lang w:val="en-US"/>
        </w:rPr>
        <w:t>OBTAINED FROM MULTIPL</w:t>
      </w:r>
      <w:r w:rsidR="001F6AF3" w:rsidRPr="00CF0DF4">
        <w:rPr>
          <w:lang w:val="en-US"/>
        </w:rPr>
        <w:t>E</w:t>
      </w:r>
      <w:r w:rsidRPr="00CF0DF4">
        <w:rPr>
          <w:lang w:val="en-US"/>
        </w:rPr>
        <w:t xml:space="preserve"> FIELD PROJECTS</w:t>
      </w:r>
      <w:r w:rsidRPr="00CF0DF4" w:rsidDel="00FC0E7E">
        <w:rPr>
          <w:lang w:val="en-US"/>
        </w:rPr>
        <w:t xml:space="preserve"> </w:t>
      </w:r>
    </w:p>
    <w:p w14:paraId="169EC09B" w14:textId="77777777" w:rsidR="00026BB0" w:rsidRPr="00CF0DF4" w:rsidRDefault="00026BB0" w:rsidP="007D4414">
      <w:pPr>
        <w:pStyle w:val="Title"/>
        <w:rPr>
          <w:b w:val="0"/>
          <w:bCs/>
          <w:lang w:val="en-US"/>
        </w:rPr>
      </w:pPr>
    </w:p>
    <w:p w14:paraId="0F3AE8C3" w14:textId="77777777" w:rsidR="00026BB0" w:rsidRPr="00CF0DF4" w:rsidRDefault="00026BB0" w:rsidP="007D4414">
      <w:pPr>
        <w:pStyle w:val="Title"/>
        <w:rPr>
          <w:b w:val="0"/>
          <w:bCs/>
          <w:lang w:val="en-US"/>
        </w:rPr>
      </w:pPr>
    </w:p>
    <w:p w14:paraId="051ABE51" w14:textId="4022B9B3" w:rsidR="00A7798B" w:rsidRPr="00CF0DF4" w:rsidRDefault="00A7798B" w:rsidP="007D4414">
      <w:pPr>
        <w:pStyle w:val="Title"/>
        <w:rPr>
          <w:b w:val="0"/>
          <w:bCs/>
          <w:lang w:val="en-US"/>
        </w:rPr>
      </w:pPr>
      <w:r w:rsidRPr="00CF0DF4">
        <w:rPr>
          <w:b w:val="0"/>
          <w:bCs/>
          <w:lang w:val="en-US"/>
        </w:rPr>
        <w:t>by</w:t>
      </w:r>
    </w:p>
    <w:p w14:paraId="28EA3163" w14:textId="77777777" w:rsidR="00026BB0" w:rsidRPr="00CF0DF4" w:rsidRDefault="00026BB0" w:rsidP="007D4414">
      <w:pPr>
        <w:pStyle w:val="Title"/>
        <w:rPr>
          <w:b w:val="0"/>
          <w:bCs/>
          <w:lang w:val="en-US"/>
        </w:rPr>
      </w:pPr>
    </w:p>
    <w:p w14:paraId="7DC24F8C" w14:textId="77777777" w:rsidR="00026BB0" w:rsidRPr="00CF0DF4" w:rsidRDefault="00026BB0" w:rsidP="007D4414">
      <w:pPr>
        <w:pStyle w:val="Title"/>
        <w:rPr>
          <w:b w:val="0"/>
          <w:bCs/>
          <w:lang w:val="en-US"/>
        </w:rPr>
      </w:pPr>
    </w:p>
    <w:p w14:paraId="6CE7002E" w14:textId="21B6D2D1" w:rsidR="00A7798B" w:rsidRPr="00CF0DF4" w:rsidRDefault="00A7798B" w:rsidP="007D4414">
      <w:pPr>
        <w:pStyle w:val="Title"/>
        <w:rPr>
          <w:b w:val="0"/>
          <w:bCs/>
          <w:lang w:val="en-US"/>
        </w:rPr>
      </w:pPr>
      <w:r w:rsidRPr="00CF0DF4">
        <w:rPr>
          <w:b w:val="0"/>
          <w:bCs/>
          <w:lang w:val="en-US"/>
        </w:rPr>
        <w:t>Logan Twohey</w:t>
      </w:r>
    </w:p>
    <w:p w14:paraId="203064EC" w14:textId="77777777" w:rsidR="00A7798B" w:rsidRPr="00CF0DF4" w:rsidRDefault="00A7798B" w:rsidP="007D4414">
      <w:pPr>
        <w:pStyle w:val="Title"/>
        <w:rPr>
          <w:b w:val="0"/>
          <w:bCs/>
          <w:lang w:val="en-US"/>
        </w:rPr>
      </w:pPr>
      <w:r w:rsidRPr="00CF0DF4">
        <w:rPr>
          <w:b w:val="0"/>
          <w:bCs/>
          <w:lang w:val="en-US"/>
        </w:rPr>
        <w:t>Bachelor of Science, University of Louisville, 2019</w:t>
      </w:r>
    </w:p>
    <w:p w14:paraId="58FC070A" w14:textId="77777777" w:rsidR="00026BB0" w:rsidRPr="00CF0DF4" w:rsidRDefault="00026BB0" w:rsidP="007D4414">
      <w:pPr>
        <w:pStyle w:val="Title"/>
        <w:rPr>
          <w:b w:val="0"/>
          <w:bCs/>
          <w:lang w:val="en-US"/>
        </w:rPr>
      </w:pPr>
    </w:p>
    <w:p w14:paraId="49B8C51C" w14:textId="77777777" w:rsidR="00026BB0" w:rsidRPr="00CF0DF4" w:rsidRDefault="00026BB0" w:rsidP="007D4414">
      <w:pPr>
        <w:pStyle w:val="Title"/>
        <w:rPr>
          <w:b w:val="0"/>
          <w:bCs/>
          <w:lang w:val="en-US"/>
        </w:rPr>
      </w:pPr>
    </w:p>
    <w:p w14:paraId="12648EB1" w14:textId="38344E9E" w:rsidR="004E19CB" w:rsidRPr="00CF0DF4" w:rsidRDefault="00A7798B" w:rsidP="007D4414">
      <w:pPr>
        <w:pStyle w:val="Title"/>
        <w:rPr>
          <w:b w:val="0"/>
          <w:bCs/>
          <w:lang w:val="en-US"/>
        </w:rPr>
      </w:pPr>
      <w:r w:rsidRPr="00CF0DF4">
        <w:rPr>
          <w:b w:val="0"/>
          <w:bCs/>
          <w:lang w:val="en-US"/>
        </w:rPr>
        <w:t>A Thesis</w:t>
      </w:r>
    </w:p>
    <w:p w14:paraId="73939185" w14:textId="77777777" w:rsidR="00026BB0" w:rsidRPr="00CF0DF4" w:rsidRDefault="00026BB0" w:rsidP="007D4414">
      <w:pPr>
        <w:pStyle w:val="Title"/>
        <w:rPr>
          <w:b w:val="0"/>
          <w:bCs/>
          <w:lang w:val="en-US"/>
        </w:rPr>
      </w:pPr>
    </w:p>
    <w:p w14:paraId="7E8EDEDF" w14:textId="0EB291E4" w:rsidR="004E19CB" w:rsidRPr="00CF0DF4" w:rsidRDefault="00A7798B" w:rsidP="007D4414">
      <w:pPr>
        <w:pStyle w:val="Title"/>
        <w:rPr>
          <w:b w:val="0"/>
          <w:bCs/>
          <w:lang w:val="en-US"/>
        </w:rPr>
      </w:pPr>
      <w:r w:rsidRPr="00CF0DF4">
        <w:rPr>
          <w:b w:val="0"/>
          <w:bCs/>
          <w:lang w:val="en-US"/>
        </w:rPr>
        <w:t>Submitted to the Graduate Faculty</w:t>
      </w:r>
    </w:p>
    <w:p w14:paraId="6476A559" w14:textId="77777777" w:rsidR="00026BB0" w:rsidRPr="00CF0DF4" w:rsidRDefault="00026BB0" w:rsidP="007D4414">
      <w:pPr>
        <w:pStyle w:val="Title"/>
        <w:rPr>
          <w:b w:val="0"/>
          <w:bCs/>
          <w:lang w:val="en-US"/>
        </w:rPr>
      </w:pPr>
    </w:p>
    <w:p w14:paraId="78997D05" w14:textId="064D7463" w:rsidR="004E19CB" w:rsidRPr="00CF0DF4" w:rsidRDefault="004E19CB" w:rsidP="007D4414">
      <w:pPr>
        <w:pStyle w:val="Title"/>
        <w:rPr>
          <w:b w:val="0"/>
          <w:bCs/>
          <w:lang w:val="en-US"/>
        </w:rPr>
      </w:pPr>
      <w:r w:rsidRPr="00CF0DF4">
        <w:rPr>
          <w:b w:val="0"/>
          <w:bCs/>
          <w:lang w:val="en-US"/>
        </w:rPr>
        <w:t>of the</w:t>
      </w:r>
    </w:p>
    <w:p w14:paraId="3289DE53" w14:textId="77777777" w:rsidR="00026BB0" w:rsidRPr="00CF0DF4" w:rsidRDefault="00026BB0" w:rsidP="007D4414">
      <w:pPr>
        <w:pStyle w:val="Title"/>
        <w:rPr>
          <w:b w:val="0"/>
          <w:bCs/>
          <w:lang w:val="en-US"/>
        </w:rPr>
      </w:pPr>
    </w:p>
    <w:p w14:paraId="5C61E4FC" w14:textId="1D67CF56" w:rsidR="004E19CB" w:rsidRPr="00CF0DF4" w:rsidRDefault="004E19CB" w:rsidP="007D4414">
      <w:pPr>
        <w:pStyle w:val="Title"/>
        <w:rPr>
          <w:b w:val="0"/>
          <w:bCs/>
          <w:lang w:val="en-US"/>
        </w:rPr>
      </w:pPr>
      <w:r w:rsidRPr="00CF0DF4">
        <w:rPr>
          <w:b w:val="0"/>
          <w:bCs/>
          <w:lang w:val="en-US"/>
        </w:rPr>
        <w:t>University of North Dakota</w:t>
      </w:r>
    </w:p>
    <w:p w14:paraId="5ADB9DE2" w14:textId="77777777" w:rsidR="00026BB0" w:rsidRPr="00CF0DF4" w:rsidRDefault="00026BB0" w:rsidP="007D4414">
      <w:pPr>
        <w:pStyle w:val="Title"/>
        <w:rPr>
          <w:b w:val="0"/>
          <w:bCs/>
          <w:lang w:val="en-US"/>
        </w:rPr>
      </w:pPr>
    </w:p>
    <w:p w14:paraId="2E603391" w14:textId="1B8866C7" w:rsidR="004E19CB" w:rsidRPr="00CF0DF4" w:rsidRDefault="004E19CB" w:rsidP="007D4414">
      <w:pPr>
        <w:pStyle w:val="Title"/>
        <w:rPr>
          <w:b w:val="0"/>
          <w:bCs/>
          <w:lang w:val="en-US"/>
        </w:rPr>
      </w:pPr>
      <w:r w:rsidRPr="00CF0DF4">
        <w:rPr>
          <w:b w:val="0"/>
          <w:bCs/>
          <w:lang w:val="en-US"/>
        </w:rPr>
        <w:t>in partial fulfilment of the requirements</w:t>
      </w:r>
    </w:p>
    <w:p w14:paraId="40F8ACFD" w14:textId="77777777" w:rsidR="00026BB0" w:rsidRPr="00CF0DF4" w:rsidRDefault="00026BB0" w:rsidP="007D4414">
      <w:pPr>
        <w:pStyle w:val="Title"/>
        <w:rPr>
          <w:b w:val="0"/>
          <w:bCs/>
          <w:lang w:val="en-US"/>
        </w:rPr>
      </w:pPr>
    </w:p>
    <w:p w14:paraId="25F5D1F9" w14:textId="77777777" w:rsidR="00026BB0" w:rsidRPr="00CF0DF4" w:rsidRDefault="00026BB0" w:rsidP="007D4414">
      <w:pPr>
        <w:pStyle w:val="Title"/>
        <w:rPr>
          <w:b w:val="0"/>
          <w:bCs/>
          <w:lang w:val="en-US"/>
        </w:rPr>
      </w:pPr>
    </w:p>
    <w:p w14:paraId="3E484E64" w14:textId="44B9C636" w:rsidR="004E19CB" w:rsidRPr="00CF0DF4" w:rsidRDefault="004E19CB" w:rsidP="007D4414">
      <w:pPr>
        <w:pStyle w:val="Title"/>
        <w:rPr>
          <w:b w:val="0"/>
          <w:bCs/>
          <w:lang w:val="en-US"/>
        </w:rPr>
      </w:pPr>
      <w:r w:rsidRPr="00CF0DF4">
        <w:rPr>
          <w:b w:val="0"/>
          <w:bCs/>
          <w:lang w:val="en-US"/>
        </w:rPr>
        <w:t>for the degree of</w:t>
      </w:r>
    </w:p>
    <w:p w14:paraId="460D990D" w14:textId="77777777" w:rsidR="004E19CB" w:rsidRPr="00CF0DF4" w:rsidRDefault="004E19CB" w:rsidP="007D4414">
      <w:pPr>
        <w:pStyle w:val="Title"/>
        <w:rPr>
          <w:b w:val="0"/>
          <w:bCs/>
          <w:lang w:val="en-US"/>
        </w:rPr>
      </w:pPr>
      <w:r w:rsidRPr="00CF0DF4">
        <w:rPr>
          <w:b w:val="0"/>
          <w:bCs/>
          <w:lang w:val="en-US"/>
        </w:rPr>
        <w:t>Master of Science</w:t>
      </w:r>
    </w:p>
    <w:p w14:paraId="7AE762ED" w14:textId="77777777" w:rsidR="00026BB0" w:rsidRPr="00CF0DF4" w:rsidRDefault="00026BB0" w:rsidP="004E19CB">
      <w:pPr>
        <w:pStyle w:val="Title"/>
        <w:rPr>
          <w:b w:val="0"/>
          <w:bCs/>
          <w:lang w:val="en-US"/>
        </w:rPr>
      </w:pPr>
    </w:p>
    <w:p w14:paraId="290E22CD" w14:textId="77777777" w:rsidR="00026BB0" w:rsidRPr="00CF0DF4" w:rsidRDefault="00026BB0" w:rsidP="004E19CB">
      <w:pPr>
        <w:pStyle w:val="Title"/>
        <w:rPr>
          <w:b w:val="0"/>
          <w:bCs/>
          <w:lang w:val="en-US"/>
        </w:rPr>
      </w:pPr>
    </w:p>
    <w:p w14:paraId="600166E8" w14:textId="63FAD6C5" w:rsidR="004E19CB" w:rsidRPr="00CF0DF4" w:rsidRDefault="004E19CB" w:rsidP="004E19CB">
      <w:pPr>
        <w:pStyle w:val="Title"/>
        <w:rPr>
          <w:b w:val="0"/>
          <w:bCs/>
          <w:lang w:val="en-US"/>
        </w:rPr>
      </w:pPr>
      <w:r w:rsidRPr="00CF0DF4">
        <w:rPr>
          <w:b w:val="0"/>
          <w:bCs/>
          <w:lang w:val="en-US"/>
        </w:rPr>
        <w:t>Grand Forks, North Dakota</w:t>
      </w:r>
    </w:p>
    <w:p w14:paraId="063A0EF8" w14:textId="77777777" w:rsidR="00026BB0" w:rsidRPr="00CF0DF4" w:rsidRDefault="00026BB0" w:rsidP="004E19CB">
      <w:pPr>
        <w:pStyle w:val="Title"/>
        <w:rPr>
          <w:b w:val="0"/>
          <w:bCs/>
          <w:lang w:val="en-US"/>
        </w:rPr>
      </w:pPr>
    </w:p>
    <w:p w14:paraId="247C5108" w14:textId="4B617B91" w:rsidR="004E19CB" w:rsidRPr="00CF0DF4" w:rsidRDefault="00507D2B" w:rsidP="004E19CB">
      <w:pPr>
        <w:pStyle w:val="Title"/>
        <w:rPr>
          <w:b w:val="0"/>
          <w:bCs/>
          <w:lang w:val="en-US"/>
        </w:rPr>
      </w:pPr>
      <w:r w:rsidRPr="00CF0DF4">
        <w:rPr>
          <w:b w:val="0"/>
          <w:bCs/>
          <w:lang w:val="en-US"/>
        </w:rPr>
        <w:t>July</w:t>
      </w:r>
    </w:p>
    <w:p w14:paraId="6813AAA0" w14:textId="2FEB3336" w:rsidR="009C0067" w:rsidRPr="00CF0DF4" w:rsidRDefault="004E19CB" w:rsidP="004E19CB">
      <w:pPr>
        <w:pStyle w:val="Title"/>
        <w:rPr>
          <w:b w:val="0"/>
          <w:bCs/>
          <w:lang w:val="en-US"/>
        </w:rPr>
      </w:pPr>
      <w:r w:rsidRPr="00CF0DF4">
        <w:rPr>
          <w:b w:val="0"/>
          <w:bCs/>
          <w:lang w:val="en-US"/>
        </w:rPr>
        <w:t>2022</w:t>
      </w:r>
      <w:r w:rsidR="009C0067" w:rsidRPr="00CF0DF4">
        <w:rPr>
          <w:lang w:val="en-US"/>
        </w:rPr>
        <w:br w:type="page"/>
      </w:r>
    </w:p>
    <w:p w14:paraId="293ED957" w14:textId="77777777" w:rsidR="00FA6CEE" w:rsidRPr="00CF0DF4" w:rsidRDefault="00FA6CEE" w:rsidP="009C0067">
      <w:pPr>
        <w:pStyle w:val="Title"/>
        <w:rPr>
          <w:lang w:val="en-US"/>
        </w:rPr>
        <w:sectPr w:rsidR="00FA6CEE" w:rsidRPr="00CF0DF4" w:rsidSect="00DF6CBC">
          <w:footerReference w:type="default" r:id="rId8"/>
          <w:type w:val="continuous"/>
          <w:pgSz w:w="12240" w:h="15840"/>
          <w:pgMar w:top="2880" w:right="2160" w:bottom="1440" w:left="2160" w:header="720" w:footer="720" w:gutter="0"/>
          <w:pgNumType w:start="1"/>
          <w:cols w:space="0"/>
          <w:docGrid w:linePitch="326"/>
        </w:sectPr>
      </w:pPr>
    </w:p>
    <w:p w14:paraId="6274D163" w14:textId="68503525" w:rsidR="008070C9" w:rsidRPr="00CF0DF4" w:rsidRDefault="008070C9" w:rsidP="009C0067">
      <w:pPr>
        <w:pStyle w:val="Title"/>
        <w:rPr>
          <w:lang w:val="en-US"/>
        </w:rPr>
      </w:pPr>
      <w:r w:rsidRPr="00CF0DF4">
        <w:rPr>
          <w:lang w:val="en-US"/>
        </w:rPr>
        <w:lastRenderedPageBreak/>
        <w:br w:type="page"/>
      </w:r>
    </w:p>
    <w:p w14:paraId="44A1E758" w14:textId="47C22382" w:rsidR="00280B51" w:rsidRDefault="00DC03CF">
      <w:pPr>
        <w:pStyle w:val="TOC1"/>
        <w:tabs>
          <w:tab w:val="right" w:leader="dot" w:pos="9292"/>
        </w:tabs>
        <w:rPr>
          <w:rFonts w:asciiTheme="minorHAnsi" w:eastAsiaTheme="minorEastAsia" w:hAnsiTheme="minorHAnsi" w:cstheme="minorBidi"/>
          <w:noProof/>
          <w:kern w:val="0"/>
          <w:sz w:val="22"/>
          <w:szCs w:val="22"/>
          <w:lang w:eastAsia="en-US" w:bidi="ar-SA"/>
        </w:rPr>
      </w:pPr>
      <w:r w:rsidRPr="00CF0DF4">
        <w:rPr>
          <w:rFonts w:ascii="Liberation Serif" w:hAnsi="Liberation Serif"/>
          <w:b/>
          <w:bCs/>
          <w:sz w:val="28"/>
        </w:rPr>
        <w:lastRenderedPageBreak/>
        <w:fldChar w:fldCharType="begin"/>
      </w:r>
      <w:r w:rsidRPr="00CF0DF4">
        <w:instrText xml:space="preserve"> TOC \o "1-9" \u \l 1-9 \h </w:instrText>
      </w:r>
      <w:r w:rsidRPr="00CF0DF4">
        <w:rPr>
          <w:rFonts w:ascii="Liberation Serif" w:hAnsi="Liberation Serif"/>
          <w:b/>
          <w:bCs/>
          <w:sz w:val="28"/>
        </w:rPr>
        <w:fldChar w:fldCharType="separate"/>
      </w:r>
      <w:hyperlink w:anchor="_Toc109123089" w:history="1">
        <w:r w:rsidR="00280B51" w:rsidRPr="00D808A0">
          <w:rPr>
            <w:rStyle w:val="Hyperlink"/>
            <w:noProof/>
          </w:rPr>
          <w:t>LIST OF FIGURES</w:t>
        </w:r>
        <w:r w:rsidR="00280B51">
          <w:rPr>
            <w:noProof/>
          </w:rPr>
          <w:tab/>
        </w:r>
        <w:r w:rsidR="00280B51">
          <w:rPr>
            <w:noProof/>
          </w:rPr>
          <w:fldChar w:fldCharType="begin"/>
        </w:r>
        <w:r w:rsidR="00280B51">
          <w:rPr>
            <w:noProof/>
          </w:rPr>
          <w:instrText xml:space="preserve"> PAGEREF _Toc109123089 \h </w:instrText>
        </w:r>
        <w:r w:rsidR="00280B51">
          <w:rPr>
            <w:noProof/>
          </w:rPr>
        </w:r>
        <w:r w:rsidR="00280B51">
          <w:rPr>
            <w:noProof/>
          </w:rPr>
          <w:fldChar w:fldCharType="separate"/>
        </w:r>
        <w:r w:rsidR="00DB4BE3">
          <w:rPr>
            <w:noProof/>
          </w:rPr>
          <w:t>iii</w:t>
        </w:r>
        <w:r w:rsidR="00280B51">
          <w:rPr>
            <w:noProof/>
          </w:rPr>
          <w:fldChar w:fldCharType="end"/>
        </w:r>
      </w:hyperlink>
    </w:p>
    <w:p w14:paraId="1234FA35" w14:textId="54C8D6FB"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0" w:history="1">
        <w:r w:rsidR="00280B51" w:rsidRPr="00D808A0">
          <w:rPr>
            <w:rStyle w:val="Hyperlink"/>
            <w:noProof/>
          </w:rPr>
          <w:t>LIST OF TABLES</w:t>
        </w:r>
        <w:r w:rsidR="00280B51">
          <w:rPr>
            <w:noProof/>
          </w:rPr>
          <w:tab/>
        </w:r>
        <w:r w:rsidR="00280B51">
          <w:rPr>
            <w:noProof/>
          </w:rPr>
          <w:fldChar w:fldCharType="begin"/>
        </w:r>
        <w:r w:rsidR="00280B51">
          <w:rPr>
            <w:noProof/>
          </w:rPr>
          <w:instrText xml:space="preserve"> PAGEREF _Toc109123090 \h </w:instrText>
        </w:r>
        <w:r w:rsidR="00280B51">
          <w:rPr>
            <w:noProof/>
          </w:rPr>
        </w:r>
        <w:r w:rsidR="00280B51">
          <w:rPr>
            <w:noProof/>
          </w:rPr>
          <w:fldChar w:fldCharType="separate"/>
        </w:r>
        <w:r w:rsidR="00DB4BE3">
          <w:rPr>
            <w:noProof/>
          </w:rPr>
          <w:t>vi</w:t>
        </w:r>
        <w:r w:rsidR="00280B51">
          <w:rPr>
            <w:noProof/>
          </w:rPr>
          <w:fldChar w:fldCharType="end"/>
        </w:r>
      </w:hyperlink>
    </w:p>
    <w:p w14:paraId="156F7190" w14:textId="7A53B47A"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1" w:history="1">
        <w:r w:rsidR="00280B51" w:rsidRPr="00D808A0">
          <w:rPr>
            <w:rStyle w:val="Hyperlink"/>
            <w:noProof/>
          </w:rPr>
          <w:t>ACKNOWLEDGMENTS</w:t>
        </w:r>
        <w:r w:rsidR="00280B51">
          <w:rPr>
            <w:noProof/>
          </w:rPr>
          <w:tab/>
        </w:r>
        <w:r w:rsidR="00280B51">
          <w:rPr>
            <w:noProof/>
          </w:rPr>
          <w:fldChar w:fldCharType="begin"/>
        </w:r>
        <w:r w:rsidR="00280B51">
          <w:rPr>
            <w:noProof/>
          </w:rPr>
          <w:instrText xml:space="preserve"> PAGEREF _Toc109123091 \h </w:instrText>
        </w:r>
        <w:r w:rsidR="00280B51">
          <w:rPr>
            <w:noProof/>
          </w:rPr>
        </w:r>
        <w:r w:rsidR="00280B51">
          <w:rPr>
            <w:noProof/>
          </w:rPr>
          <w:fldChar w:fldCharType="separate"/>
        </w:r>
        <w:r w:rsidR="00DB4BE3">
          <w:rPr>
            <w:noProof/>
          </w:rPr>
          <w:t>viii</w:t>
        </w:r>
        <w:r w:rsidR="00280B51">
          <w:rPr>
            <w:noProof/>
          </w:rPr>
          <w:fldChar w:fldCharType="end"/>
        </w:r>
      </w:hyperlink>
    </w:p>
    <w:p w14:paraId="6F645E87" w14:textId="3EFB14B8"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2" w:history="1">
        <w:r w:rsidR="00280B51" w:rsidRPr="00D808A0">
          <w:rPr>
            <w:rStyle w:val="Hyperlink"/>
            <w:noProof/>
          </w:rPr>
          <w:t>ABSTRACT</w:t>
        </w:r>
        <w:r w:rsidR="00280B51">
          <w:rPr>
            <w:noProof/>
          </w:rPr>
          <w:tab/>
        </w:r>
        <w:r w:rsidR="00280B51">
          <w:rPr>
            <w:noProof/>
          </w:rPr>
          <w:fldChar w:fldCharType="begin"/>
        </w:r>
        <w:r w:rsidR="00280B51">
          <w:rPr>
            <w:noProof/>
          </w:rPr>
          <w:instrText xml:space="preserve"> PAGEREF _Toc109123092 \h </w:instrText>
        </w:r>
        <w:r w:rsidR="00280B51">
          <w:rPr>
            <w:noProof/>
          </w:rPr>
        </w:r>
        <w:r w:rsidR="00280B51">
          <w:rPr>
            <w:noProof/>
          </w:rPr>
          <w:fldChar w:fldCharType="separate"/>
        </w:r>
        <w:r w:rsidR="00DB4BE3">
          <w:rPr>
            <w:noProof/>
          </w:rPr>
          <w:t>ix</w:t>
        </w:r>
        <w:r w:rsidR="00280B51">
          <w:rPr>
            <w:noProof/>
          </w:rPr>
          <w:fldChar w:fldCharType="end"/>
        </w:r>
      </w:hyperlink>
    </w:p>
    <w:p w14:paraId="788B4A3D" w14:textId="3488C979"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3" w:history="1">
        <w:r w:rsidR="00280B51" w:rsidRPr="00D808A0">
          <w:rPr>
            <w:rStyle w:val="Hyperlink"/>
            <w:noProof/>
          </w:rPr>
          <w:t>CHAPTER 1 INTRODUCTION</w:t>
        </w:r>
        <w:r w:rsidR="00280B51">
          <w:rPr>
            <w:noProof/>
          </w:rPr>
          <w:tab/>
        </w:r>
        <w:r w:rsidR="00280B51">
          <w:rPr>
            <w:noProof/>
          </w:rPr>
          <w:fldChar w:fldCharType="begin"/>
        </w:r>
        <w:r w:rsidR="00280B51">
          <w:rPr>
            <w:noProof/>
          </w:rPr>
          <w:instrText xml:space="preserve"> PAGEREF _Toc109123093 \h </w:instrText>
        </w:r>
        <w:r w:rsidR="00280B51">
          <w:rPr>
            <w:noProof/>
          </w:rPr>
        </w:r>
        <w:r w:rsidR="00280B51">
          <w:rPr>
            <w:noProof/>
          </w:rPr>
          <w:fldChar w:fldCharType="separate"/>
        </w:r>
        <w:r w:rsidR="00DB4BE3">
          <w:rPr>
            <w:noProof/>
          </w:rPr>
          <w:t>1</w:t>
        </w:r>
        <w:r w:rsidR="00280B51">
          <w:rPr>
            <w:noProof/>
          </w:rPr>
          <w:fldChar w:fldCharType="end"/>
        </w:r>
      </w:hyperlink>
    </w:p>
    <w:p w14:paraId="12AC0744" w14:textId="4059F0B7"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4" w:history="1">
        <w:r w:rsidR="00280B51" w:rsidRPr="00D808A0">
          <w:rPr>
            <w:rStyle w:val="Hyperlink"/>
            <w:noProof/>
          </w:rPr>
          <w:t>1.1 The Melting Layer</w:t>
        </w:r>
        <w:r w:rsidR="00280B51">
          <w:rPr>
            <w:noProof/>
          </w:rPr>
          <w:tab/>
        </w:r>
        <w:r w:rsidR="00280B51">
          <w:rPr>
            <w:noProof/>
          </w:rPr>
          <w:fldChar w:fldCharType="begin"/>
        </w:r>
        <w:r w:rsidR="00280B51">
          <w:rPr>
            <w:noProof/>
          </w:rPr>
          <w:instrText xml:space="preserve"> PAGEREF _Toc109123094 \h </w:instrText>
        </w:r>
        <w:r w:rsidR="00280B51">
          <w:rPr>
            <w:noProof/>
          </w:rPr>
        </w:r>
        <w:r w:rsidR="00280B51">
          <w:rPr>
            <w:noProof/>
          </w:rPr>
          <w:fldChar w:fldCharType="separate"/>
        </w:r>
        <w:r w:rsidR="00DB4BE3">
          <w:rPr>
            <w:noProof/>
          </w:rPr>
          <w:t>1</w:t>
        </w:r>
        <w:r w:rsidR="00280B51">
          <w:rPr>
            <w:noProof/>
          </w:rPr>
          <w:fldChar w:fldCharType="end"/>
        </w:r>
      </w:hyperlink>
    </w:p>
    <w:p w14:paraId="6C9F6DFA" w14:textId="6E650B0C"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5" w:history="1">
        <w:r w:rsidR="00280B51" w:rsidRPr="00D808A0">
          <w:rPr>
            <w:rStyle w:val="Hyperlink"/>
            <w:noProof/>
          </w:rPr>
          <w:t>1.2 Radar Observations of the Melting Layer</w:t>
        </w:r>
        <w:r w:rsidR="00280B51">
          <w:rPr>
            <w:noProof/>
          </w:rPr>
          <w:tab/>
        </w:r>
        <w:r w:rsidR="00280B51">
          <w:rPr>
            <w:noProof/>
          </w:rPr>
          <w:fldChar w:fldCharType="begin"/>
        </w:r>
        <w:r w:rsidR="00280B51">
          <w:rPr>
            <w:noProof/>
          </w:rPr>
          <w:instrText xml:space="preserve"> PAGEREF _Toc109123095 \h </w:instrText>
        </w:r>
        <w:r w:rsidR="00280B51">
          <w:rPr>
            <w:noProof/>
          </w:rPr>
        </w:r>
        <w:r w:rsidR="00280B51">
          <w:rPr>
            <w:noProof/>
          </w:rPr>
          <w:fldChar w:fldCharType="separate"/>
        </w:r>
        <w:r w:rsidR="00DB4BE3">
          <w:rPr>
            <w:noProof/>
          </w:rPr>
          <w:t>4</w:t>
        </w:r>
        <w:r w:rsidR="00280B51">
          <w:rPr>
            <w:noProof/>
          </w:rPr>
          <w:fldChar w:fldCharType="end"/>
        </w:r>
      </w:hyperlink>
    </w:p>
    <w:p w14:paraId="3B4B0B74" w14:textId="1AEEFFB4"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6" w:history="1">
        <w:r w:rsidR="00280B51" w:rsidRPr="00D808A0">
          <w:rPr>
            <w:rStyle w:val="Hyperlink"/>
            <w:noProof/>
          </w:rPr>
          <w:t>1. 3 Laboratory Experiments and Numerical Models</w:t>
        </w:r>
        <w:r w:rsidR="00280B51">
          <w:rPr>
            <w:noProof/>
          </w:rPr>
          <w:tab/>
        </w:r>
        <w:r w:rsidR="00280B51">
          <w:rPr>
            <w:noProof/>
          </w:rPr>
          <w:fldChar w:fldCharType="begin"/>
        </w:r>
        <w:r w:rsidR="00280B51">
          <w:rPr>
            <w:noProof/>
          </w:rPr>
          <w:instrText xml:space="preserve"> PAGEREF _Toc109123096 \h </w:instrText>
        </w:r>
        <w:r w:rsidR="00280B51">
          <w:rPr>
            <w:noProof/>
          </w:rPr>
        </w:r>
        <w:r w:rsidR="00280B51">
          <w:rPr>
            <w:noProof/>
          </w:rPr>
          <w:fldChar w:fldCharType="separate"/>
        </w:r>
        <w:r w:rsidR="00DB4BE3">
          <w:rPr>
            <w:noProof/>
          </w:rPr>
          <w:t>5</w:t>
        </w:r>
        <w:r w:rsidR="00280B51">
          <w:rPr>
            <w:noProof/>
          </w:rPr>
          <w:fldChar w:fldCharType="end"/>
        </w:r>
      </w:hyperlink>
    </w:p>
    <w:p w14:paraId="49032FE4" w14:textId="36C09589"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7" w:history="1">
        <w:r w:rsidR="00280B51" w:rsidRPr="00D808A0">
          <w:rPr>
            <w:rStyle w:val="Hyperlink"/>
            <w:noProof/>
          </w:rPr>
          <w:t>1.4 In-situ Observations</w:t>
        </w:r>
        <w:r w:rsidR="00280B51">
          <w:rPr>
            <w:noProof/>
          </w:rPr>
          <w:tab/>
        </w:r>
        <w:r w:rsidR="00280B51">
          <w:rPr>
            <w:noProof/>
          </w:rPr>
          <w:fldChar w:fldCharType="begin"/>
        </w:r>
        <w:r w:rsidR="00280B51">
          <w:rPr>
            <w:noProof/>
          </w:rPr>
          <w:instrText xml:space="preserve"> PAGEREF _Toc109123097 \h </w:instrText>
        </w:r>
        <w:r w:rsidR="00280B51">
          <w:rPr>
            <w:noProof/>
          </w:rPr>
        </w:r>
        <w:r w:rsidR="00280B51">
          <w:rPr>
            <w:noProof/>
          </w:rPr>
          <w:fldChar w:fldCharType="separate"/>
        </w:r>
        <w:r w:rsidR="00DB4BE3">
          <w:rPr>
            <w:noProof/>
          </w:rPr>
          <w:t>7</w:t>
        </w:r>
        <w:r w:rsidR="00280B51">
          <w:rPr>
            <w:noProof/>
          </w:rPr>
          <w:fldChar w:fldCharType="end"/>
        </w:r>
      </w:hyperlink>
    </w:p>
    <w:p w14:paraId="1A511400" w14:textId="3E4E29F6"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8" w:history="1">
        <w:r w:rsidR="00280B51" w:rsidRPr="00D808A0">
          <w:rPr>
            <w:rStyle w:val="Hyperlink"/>
            <w:noProof/>
          </w:rPr>
          <w:t>1.5 Objectives</w:t>
        </w:r>
        <w:r w:rsidR="00280B51">
          <w:rPr>
            <w:noProof/>
          </w:rPr>
          <w:tab/>
        </w:r>
        <w:r w:rsidR="00280B51">
          <w:rPr>
            <w:noProof/>
          </w:rPr>
          <w:fldChar w:fldCharType="begin"/>
        </w:r>
        <w:r w:rsidR="00280B51">
          <w:rPr>
            <w:noProof/>
          </w:rPr>
          <w:instrText xml:space="preserve"> PAGEREF _Toc109123098 \h </w:instrText>
        </w:r>
        <w:r w:rsidR="00280B51">
          <w:rPr>
            <w:noProof/>
          </w:rPr>
        </w:r>
        <w:r w:rsidR="00280B51">
          <w:rPr>
            <w:noProof/>
          </w:rPr>
          <w:fldChar w:fldCharType="separate"/>
        </w:r>
        <w:r w:rsidR="00DB4BE3">
          <w:rPr>
            <w:noProof/>
          </w:rPr>
          <w:t>11</w:t>
        </w:r>
        <w:r w:rsidR="00280B51">
          <w:rPr>
            <w:noProof/>
          </w:rPr>
          <w:fldChar w:fldCharType="end"/>
        </w:r>
      </w:hyperlink>
    </w:p>
    <w:p w14:paraId="3378F322" w14:textId="1192EA37"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9" w:history="1">
        <w:r w:rsidR="00280B51" w:rsidRPr="00D808A0">
          <w:rPr>
            <w:rStyle w:val="Hyperlink"/>
            <w:noProof/>
          </w:rPr>
          <w:t>CHAPTER 2 DATA</w:t>
        </w:r>
        <w:r w:rsidR="00280B51">
          <w:rPr>
            <w:noProof/>
          </w:rPr>
          <w:tab/>
        </w:r>
        <w:r w:rsidR="00280B51">
          <w:rPr>
            <w:noProof/>
          </w:rPr>
          <w:fldChar w:fldCharType="begin"/>
        </w:r>
        <w:r w:rsidR="00280B51">
          <w:rPr>
            <w:noProof/>
          </w:rPr>
          <w:instrText xml:space="preserve"> PAGEREF _Toc109123099 \h </w:instrText>
        </w:r>
        <w:r w:rsidR="00280B51">
          <w:rPr>
            <w:noProof/>
          </w:rPr>
        </w:r>
        <w:r w:rsidR="00280B51">
          <w:rPr>
            <w:noProof/>
          </w:rPr>
          <w:fldChar w:fldCharType="separate"/>
        </w:r>
        <w:r w:rsidR="00DB4BE3">
          <w:rPr>
            <w:noProof/>
          </w:rPr>
          <w:t>13</w:t>
        </w:r>
        <w:r w:rsidR="00280B51">
          <w:rPr>
            <w:noProof/>
          </w:rPr>
          <w:fldChar w:fldCharType="end"/>
        </w:r>
      </w:hyperlink>
    </w:p>
    <w:p w14:paraId="42141C7E" w14:textId="6A5E95D9"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0" w:history="1">
        <w:r w:rsidR="00280B51" w:rsidRPr="00D808A0">
          <w:rPr>
            <w:rStyle w:val="Hyperlink"/>
            <w:noProof/>
          </w:rPr>
          <w:t>2.1 Data Set</w:t>
        </w:r>
        <w:r w:rsidR="00280B51">
          <w:rPr>
            <w:noProof/>
          </w:rPr>
          <w:tab/>
        </w:r>
        <w:r w:rsidR="00280B51">
          <w:rPr>
            <w:noProof/>
          </w:rPr>
          <w:fldChar w:fldCharType="begin"/>
        </w:r>
        <w:r w:rsidR="00280B51">
          <w:rPr>
            <w:noProof/>
          </w:rPr>
          <w:instrText xml:space="preserve"> PAGEREF _Toc109123100 \h </w:instrText>
        </w:r>
        <w:r w:rsidR="00280B51">
          <w:rPr>
            <w:noProof/>
          </w:rPr>
        </w:r>
        <w:r w:rsidR="00280B51">
          <w:rPr>
            <w:noProof/>
          </w:rPr>
          <w:fldChar w:fldCharType="separate"/>
        </w:r>
        <w:r w:rsidR="00DB4BE3">
          <w:rPr>
            <w:noProof/>
          </w:rPr>
          <w:t>13</w:t>
        </w:r>
        <w:r w:rsidR="00280B51">
          <w:rPr>
            <w:noProof/>
          </w:rPr>
          <w:fldChar w:fldCharType="end"/>
        </w:r>
      </w:hyperlink>
    </w:p>
    <w:p w14:paraId="1895F002" w14:textId="3F9C58D0"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1" w:history="1">
        <w:r w:rsidR="00280B51" w:rsidRPr="00D808A0">
          <w:rPr>
            <w:rStyle w:val="Hyperlink"/>
            <w:rFonts w:eastAsia="Times New Roman" w:cs="Times New Roman"/>
            <w:noProof/>
          </w:rPr>
          <w:t>2.2 Data Processing</w:t>
        </w:r>
        <w:r w:rsidR="00280B51">
          <w:rPr>
            <w:noProof/>
          </w:rPr>
          <w:tab/>
        </w:r>
        <w:r w:rsidR="00280B51">
          <w:rPr>
            <w:noProof/>
          </w:rPr>
          <w:fldChar w:fldCharType="begin"/>
        </w:r>
        <w:r w:rsidR="00280B51">
          <w:rPr>
            <w:noProof/>
          </w:rPr>
          <w:instrText xml:space="preserve"> PAGEREF _Toc109123101 \h </w:instrText>
        </w:r>
        <w:r w:rsidR="00280B51">
          <w:rPr>
            <w:noProof/>
          </w:rPr>
        </w:r>
        <w:r w:rsidR="00280B51">
          <w:rPr>
            <w:noProof/>
          </w:rPr>
          <w:fldChar w:fldCharType="separate"/>
        </w:r>
        <w:r w:rsidR="00DB4BE3">
          <w:rPr>
            <w:noProof/>
          </w:rPr>
          <w:t>15</w:t>
        </w:r>
        <w:r w:rsidR="00280B51">
          <w:rPr>
            <w:noProof/>
          </w:rPr>
          <w:fldChar w:fldCharType="end"/>
        </w:r>
      </w:hyperlink>
    </w:p>
    <w:p w14:paraId="4B253539" w14:textId="08E1D1FB"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2" w:history="1">
        <w:r w:rsidR="00280B51" w:rsidRPr="00D808A0">
          <w:rPr>
            <w:rStyle w:val="Hyperlink"/>
            <w:noProof/>
          </w:rPr>
          <w:t>2.4 Ice-bulb and Wet-bulb Temperature</w:t>
        </w:r>
        <w:r w:rsidR="00280B51">
          <w:rPr>
            <w:noProof/>
          </w:rPr>
          <w:tab/>
        </w:r>
        <w:r w:rsidR="00280B51">
          <w:rPr>
            <w:noProof/>
          </w:rPr>
          <w:fldChar w:fldCharType="begin"/>
        </w:r>
        <w:r w:rsidR="00280B51">
          <w:rPr>
            <w:noProof/>
          </w:rPr>
          <w:instrText xml:space="preserve"> PAGEREF _Toc109123102 \h </w:instrText>
        </w:r>
        <w:r w:rsidR="00280B51">
          <w:rPr>
            <w:noProof/>
          </w:rPr>
        </w:r>
        <w:r w:rsidR="00280B51">
          <w:rPr>
            <w:noProof/>
          </w:rPr>
          <w:fldChar w:fldCharType="separate"/>
        </w:r>
        <w:r w:rsidR="00DB4BE3">
          <w:rPr>
            <w:noProof/>
          </w:rPr>
          <w:t>19</w:t>
        </w:r>
        <w:r w:rsidR="00280B51">
          <w:rPr>
            <w:noProof/>
          </w:rPr>
          <w:fldChar w:fldCharType="end"/>
        </w:r>
      </w:hyperlink>
    </w:p>
    <w:p w14:paraId="6D77A3E5" w14:textId="17066A1E"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03" w:history="1">
        <w:r w:rsidR="00280B51" w:rsidRPr="00D808A0">
          <w:rPr>
            <w:rStyle w:val="Hyperlink"/>
            <w:noProof/>
          </w:rPr>
          <w:t>CHAPTER 3 METHODOLOGY</w:t>
        </w:r>
        <w:r w:rsidR="00280B51">
          <w:rPr>
            <w:noProof/>
          </w:rPr>
          <w:tab/>
        </w:r>
        <w:r w:rsidR="00280B51">
          <w:rPr>
            <w:noProof/>
          </w:rPr>
          <w:fldChar w:fldCharType="begin"/>
        </w:r>
        <w:r w:rsidR="00280B51">
          <w:rPr>
            <w:noProof/>
          </w:rPr>
          <w:instrText xml:space="preserve"> PAGEREF _Toc109123103 \h </w:instrText>
        </w:r>
        <w:r w:rsidR="00280B51">
          <w:rPr>
            <w:noProof/>
          </w:rPr>
        </w:r>
        <w:r w:rsidR="00280B51">
          <w:rPr>
            <w:noProof/>
          </w:rPr>
          <w:fldChar w:fldCharType="separate"/>
        </w:r>
        <w:r w:rsidR="00DB4BE3">
          <w:rPr>
            <w:noProof/>
          </w:rPr>
          <w:t>22</w:t>
        </w:r>
        <w:r w:rsidR="00280B51">
          <w:rPr>
            <w:noProof/>
          </w:rPr>
          <w:fldChar w:fldCharType="end"/>
        </w:r>
      </w:hyperlink>
    </w:p>
    <w:p w14:paraId="21D78061" w14:textId="64C99045"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04" w:history="1">
        <w:r w:rsidR="00280B51" w:rsidRPr="00D808A0">
          <w:rPr>
            <w:rStyle w:val="Hyperlink"/>
            <w:noProof/>
          </w:rPr>
          <w:t>CHAPTER 4 RESULTS</w:t>
        </w:r>
        <w:r w:rsidR="00280B51">
          <w:rPr>
            <w:noProof/>
          </w:rPr>
          <w:tab/>
        </w:r>
        <w:r w:rsidR="00280B51">
          <w:rPr>
            <w:noProof/>
          </w:rPr>
          <w:fldChar w:fldCharType="begin"/>
        </w:r>
        <w:r w:rsidR="00280B51">
          <w:rPr>
            <w:noProof/>
          </w:rPr>
          <w:instrText xml:space="preserve"> PAGEREF _Toc109123104 \h </w:instrText>
        </w:r>
        <w:r w:rsidR="00280B51">
          <w:rPr>
            <w:noProof/>
          </w:rPr>
        </w:r>
        <w:r w:rsidR="00280B51">
          <w:rPr>
            <w:noProof/>
          </w:rPr>
          <w:fldChar w:fldCharType="separate"/>
        </w:r>
        <w:r w:rsidR="00DB4BE3">
          <w:rPr>
            <w:noProof/>
          </w:rPr>
          <w:t>32</w:t>
        </w:r>
        <w:r w:rsidR="00280B51">
          <w:rPr>
            <w:noProof/>
          </w:rPr>
          <w:fldChar w:fldCharType="end"/>
        </w:r>
      </w:hyperlink>
    </w:p>
    <w:p w14:paraId="6364CA33" w14:textId="45FA8E32"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5" w:history="1">
        <w:r w:rsidR="00280B51" w:rsidRPr="00D808A0">
          <w:rPr>
            <w:rStyle w:val="Hyperlink"/>
            <w:noProof/>
          </w:rPr>
          <w:t>4.1 Characteristics of Melting Layer Penetrations</w:t>
        </w:r>
        <w:r w:rsidR="00280B51">
          <w:rPr>
            <w:noProof/>
          </w:rPr>
          <w:tab/>
        </w:r>
        <w:r w:rsidR="00280B51">
          <w:rPr>
            <w:noProof/>
          </w:rPr>
          <w:fldChar w:fldCharType="begin"/>
        </w:r>
        <w:r w:rsidR="00280B51">
          <w:rPr>
            <w:noProof/>
          </w:rPr>
          <w:instrText xml:space="preserve"> PAGEREF _Toc109123105 \h </w:instrText>
        </w:r>
        <w:r w:rsidR="00280B51">
          <w:rPr>
            <w:noProof/>
          </w:rPr>
        </w:r>
        <w:r w:rsidR="00280B51">
          <w:rPr>
            <w:noProof/>
          </w:rPr>
          <w:fldChar w:fldCharType="separate"/>
        </w:r>
        <w:r w:rsidR="00DB4BE3">
          <w:rPr>
            <w:noProof/>
          </w:rPr>
          <w:t>32</w:t>
        </w:r>
        <w:r w:rsidR="00280B51">
          <w:rPr>
            <w:noProof/>
          </w:rPr>
          <w:fldChar w:fldCharType="end"/>
        </w:r>
      </w:hyperlink>
    </w:p>
    <w:p w14:paraId="2CADF2E0" w14:textId="526FCC4C"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6" w:history="1">
        <w:r w:rsidR="00280B51" w:rsidRPr="00D808A0">
          <w:rPr>
            <w:rStyle w:val="Hyperlink"/>
            <w:noProof/>
          </w:rPr>
          <w:t>4.2 Saturated Melting Layers</w:t>
        </w:r>
        <w:r w:rsidR="00280B51">
          <w:rPr>
            <w:noProof/>
          </w:rPr>
          <w:tab/>
        </w:r>
        <w:r w:rsidR="00280B51">
          <w:rPr>
            <w:noProof/>
          </w:rPr>
          <w:fldChar w:fldCharType="begin"/>
        </w:r>
        <w:r w:rsidR="00280B51">
          <w:rPr>
            <w:noProof/>
          </w:rPr>
          <w:instrText xml:space="preserve"> PAGEREF _Toc109123106 \h </w:instrText>
        </w:r>
        <w:r w:rsidR="00280B51">
          <w:rPr>
            <w:noProof/>
          </w:rPr>
        </w:r>
        <w:r w:rsidR="00280B51">
          <w:rPr>
            <w:noProof/>
          </w:rPr>
          <w:fldChar w:fldCharType="separate"/>
        </w:r>
        <w:r w:rsidR="00DB4BE3">
          <w:rPr>
            <w:noProof/>
          </w:rPr>
          <w:t>34</w:t>
        </w:r>
        <w:r w:rsidR="00280B51">
          <w:rPr>
            <w:noProof/>
          </w:rPr>
          <w:fldChar w:fldCharType="end"/>
        </w:r>
      </w:hyperlink>
    </w:p>
    <w:p w14:paraId="284B47E1" w14:textId="04155A2D"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7" w:history="1">
        <w:r w:rsidR="00280B51" w:rsidRPr="00D808A0">
          <w:rPr>
            <w:rStyle w:val="Hyperlink"/>
            <w:noProof/>
            <w:highlight w:val="lightGray"/>
          </w:rPr>
          <w:t>4.3 High Relative Humidity</w:t>
        </w:r>
        <w:r w:rsidR="00280B51">
          <w:rPr>
            <w:noProof/>
          </w:rPr>
          <w:tab/>
        </w:r>
        <w:r w:rsidR="00280B51">
          <w:rPr>
            <w:noProof/>
          </w:rPr>
          <w:fldChar w:fldCharType="begin"/>
        </w:r>
        <w:r w:rsidR="00280B51">
          <w:rPr>
            <w:noProof/>
          </w:rPr>
          <w:instrText xml:space="preserve"> PAGEREF _Toc109123107 \h </w:instrText>
        </w:r>
        <w:r w:rsidR="00280B51">
          <w:rPr>
            <w:noProof/>
          </w:rPr>
        </w:r>
        <w:r w:rsidR="00280B51">
          <w:rPr>
            <w:noProof/>
          </w:rPr>
          <w:fldChar w:fldCharType="separate"/>
        </w:r>
        <w:r w:rsidR="00DB4BE3">
          <w:rPr>
            <w:noProof/>
          </w:rPr>
          <w:t>40</w:t>
        </w:r>
        <w:r w:rsidR="00280B51">
          <w:rPr>
            <w:noProof/>
          </w:rPr>
          <w:fldChar w:fldCharType="end"/>
        </w:r>
      </w:hyperlink>
    </w:p>
    <w:p w14:paraId="6B1147AC" w14:textId="72DEDFD2" w:rsidR="00280B51" w:rsidRDefault="00000000">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8" w:history="1">
        <w:r w:rsidR="00280B51" w:rsidRPr="00D808A0">
          <w:rPr>
            <w:rStyle w:val="Hyperlink"/>
            <w:noProof/>
          </w:rPr>
          <w:t>4.4 Low Relative Humidity Cases</w:t>
        </w:r>
        <w:r w:rsidR="00280B51">
          <w:rPr>
            <w:noProof/>
          </w:rPr>
          <w:tab/>
        </w:r>
        <w:r w:rsidR="00280B51">
          <w:rPr>
            <w:noProof/>
          </w:rPr>
          <w:fldChar w:fldCharType="begin"/>
        </w:r>
        <w:r w:rsidR="00280B51">
          <w:rPr>
            <w:noProof/>
          </w:rPr>
          <w:instrText xml:space="preserve"> PAGEREF _Toc109123108 \h </w:instrText>
        </w:r>
        <w:r w:rsidR="00280B51">
          <w:rPr>
            <w:noProof/>
          </w:rPr>
        </w:r>
        <w:r w:rsidR="00280B51">
          <w:rPr>
            <w:noProof/>
          </w:rPr>
          <w:fldChar w:fldCharType="separate"/>
        </w:r>
        <w:r w:rsidR="00DB4BE3">
          <w:rPr>
            <w:noProof/>
          </w:rPr>
          <w:t>49</w:t>
        </w:r>
        <w:r w:rsidR="00280B51">
          <w:rPr>
            <w:noProof/>
          </w:rPr>
          <w:fldChar w:fldCharType="end"/>
        </w:r>
      </w:hyperlink>
    </w:p>
    <w:p w14:paraId="10F76F86" w14:textId="2F52F28F"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09" w:history="1">
        <w:r w:rsidR="00280B51" w:rsidRPr="00D808A0">
          <w:rPr>
            <w:rStyle w:val="Hyperlink"/>
            <w:noProof/>
          </w:rPr>
          <w:t>CHAPTER 5 SUMMARY AND DISCUSSION</w:t>
        </w:r>
        <w:r w:rsidR="00280B51">
          <w:rPr>
            <w:noProof/>
          </w:rPr>
          <w:tab/>
        </w:r>
        <w:r w:rsidR="00280B51">
          <w:rPr>
            <w:noProof/>
          </w:rPr>
          <w:fldChar w:fldCharType="begin"/>
        </w:r>
        <w:r w:rsidR="00280B51">
          <w:rPr>
            <w:noProof/>
          </w:rPr>
          <w:instrText xml:space="preserve"> PAGEREF _Toc109123109 \h </w:instrText>
        </w:r>
        <w:r w:rsidR="00280B51">
          <w:rPr>
            <w:noProof/>
          </w:rPr>
        </w:r>
        <w:r w:rsidR="00280B51">
          <w:rPr>
            <w:noProof/>
          </w:rPr>
          <w:fldChar w:fldCharType="separate"/>
        </w:r>
        <w:r w:rsidR="00DB4BE3">
          <w:rPr>
            <w:noProof/>
          </w:rPr>
          <w:t>59</w:t>
        </w:r>
        <w:r w:rsidR="00280B51">
          <w:rPr>
            <w:noProof/>
          </w:rPr>
          <w:fldChar w:fldCharType="end"/>
        </w:r>
      </w:hyperlink>
    </w:p>
    <w:p w14:paraId="7F7E19A7" w14:textId="7D0785AD"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0" w:history="1">
        <w:r w:rsidR="00280B51" w:rsidRPr="00D808A0">
          <w:rPr>
            <w:rStyle w:val="Hyperlink"/>
            <w:noProof/>
          </w:rPr>
          <w:t>CHAPTER 6 CONCLUSIONS</w:t>
        </w:r>
        <w:r w:rsidR="00280B51">
          <w:rPr>
            <w:noProof/>
          </w:rPr>
          <w:tab/>
        </w:r>
        <w:r w:rsidR="00280B51">
          <w:rPr>
            <w:noProof/>
          </w:rPr>
          <w:fldChar w:fldCharType="begin"/>
        </w:r>
        <w:r w:rsidR="00280B51">
          <w:rPr>
            <w:noProof/>
          </w:rPr>
          <w:instrText xml:space="preserve"> PAGEREF _Toc109123110 \h </w:instrText>
        </w:r>
        <w:r w:rsidR="00280B51">
          <w:rPr>
            <w:noProof/>
          </w:rPr>
        </w:r>
        <w:r w:rsidR="00280B51">
          <w:rPr>
            <w:noProof/>
          </w:rPr>
          <w:fldChar w:fldCharType="separate"/>
        </w:r>
        <w:r w:rsidR="00DB4BE3">
          <w:rPr>
            <w:noProof/>
          </w:rPr>
          <w:t>67</w:t>
        </w:r>
        <w:r w:rsidR="00280B51">
          <w:rPr>
            <w:noProof/>
          </w:rPr>
          <w:fldChar w:fldCharType="end"/>
        </w:r>
      </w:hyperlink>
    </w:p>
    <w:p w14:paraId="23AB21CB" w14:textId="32008FE7"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1" w:history="1">
        <w:r w:rsidR="00280B51" w:rsidRPr="00D808A0">
          <w:rPr>
            <w:rStyle w:val="Hyperlink"/>
            <w:noProof/>
          </w:rPr>
          <w:t>APPENDIX A Ice-bulb and Wet-bulb Temperature Calculations</w:t>
        </w:r>
        <w:r w:rsidR="00280B51">
          <w:rPr>
            <w:noProof/>
          </w:rPr>
          <w:tab/>
        </w:r>
        <w:r w:rsidR="00280B51">
          <w:rPr>
            <w:noProof/>
          </w:rPr>
          <w:fldChar w:fldCharType="begin"/>
        </w:r>
        <w:r w:rsidR="00280B51">
          <w:rPr>
            <w:noProof/>
          </w:rPr>
          <w:instrText xml:space="preserve"> PAGEREF _Toc109123111 \h </w:instrText>
        </w:r>
        <w:r w:rsidR="00280B51">
          <w:rPr>
            <w:noProof/>
          </w:rPr>
        </w:r>
        <w:r w:rsidR="00280B51">
          <w:rPr>
            <w:noProof/>
          </w:rPr>
          <w:fldChar w:fldCharType="separate"/>
        </w:r>
        <w:r w:rsidR="00DB4BE3">
          <w:rPr>
            <w:noProof/>
          </w:rPr>
          <w:t>69</w:t>
        </w:r>
        <w:r w:rsidR="00280B51">
          <w:rPr>
            <w:noProof/>
          </w:rPr>
          <w:fldChar w:fldCharType="end"/>
        </w:r>
      </w:hyperlink>
    </w:p>
    <w:p w14:paraId="773C219D" w14:textId="6240DB3A"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2" w:history="1">
        <w:r w:rsidR="00280B51" w:rsidRPr="00D808A0">
          <w:rPr>
            <w:rStyle w:val="Hyperlink"/>
            <w:noProof/>
          </w:rPr>
          <w:t>APPENDIX B Additional Field Campaigns</w:t>
        </w:r>
        <w:r w:rsidR="00280B51">
          <w:rPr>
            <w:noProof/>
          </w:rPr>
          <w:tab/>
        </w:r>
        <w:r w:rsidR="00280B51">
          <w:rPr>
            <w:noProof/>
          </w:rPr>
          <w:fldChar w:fldCharType="begin"/>
        </w:r>
        <w:r w:rsidR="00280B51">
          <w:rPr>
            <w:noProof/>
          </w:rPr>
          <w:instrText xml:space="preserve"> PAGEREF _Toc109123112 \h </w:instrText>
        </w:r>
        <w:r w:rsidR="00280B51">
          <w:rPr>
            <w:noProof/>
          </w:rPr>
        </w:r>
        <w:r w:rsidR="00280B51">
          <w:rPr>
            <w:noProof/>
          </w:rPr>
          <w:fldChar w:fldCharType="separate"/>
        </w:r>
        <w:r w:rsidR="00DB4BE3">
          <w:rPr>
            <w:noProof/>
          </w:rPr>
          <w:t>74</w:t>
        </w:r>
        <w:r w:rsidR="00280B51">
          <w:rPr>
            <w:noProof/>
          </w:rPr>
          <w:fldChar w:fldCharType="end"/>
        </w:r>
      </w:hyperlink>
    </w:p>
    <w:p w14:paraId="58E27F11" w14:textId="12F6D057" w:rsidR="00280B51" w:rsidRDefault="00000000">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3" w:history="1">
        <w:r w:rsidR="00280B51" w:rsidRPr="00D808A0">
          <w:rPr>
            <w:rStyle w:val="Hyperlink"/>
            <w:rFonts w:cs="Times New Roman"/>
            <w:noProof/>
          </w:rPr>
          <w:t>REFERENCES</w:t>
        </w:r>
        <w:r w:rsidR="00280B51">
          <w:rPr>
            <w:noProof/>
          </w:rPr>
          <w:tab/>
        </w:r>
        <w:r w:rsidR="00280B51">
          <w:rPr>
            <w:noProof/>
          </w:rPr>
          <w:fldChar w:fldCharType="begin"/>
        </w:r>
        <w:r w:rsidR="00280B51">
          <w:rPr>
            <w:noProof/>
          </w:rPr>
          <w:instrText xml:space="preserve"> PAGEREF _Toc109123113 \h </w:instrText>
        </w:r>
        <w:r w:rsidR="00280B51">
          <w:rPr>
            <w:noProof/>
          </w:rPr>
        </w:r>
        <w:r w:rsidR="00280B51">
          <w:rPr>
            <w:noProof/>
          </w:rPr>
          <w:fldChar w:fldCharType="separate"/>
        </w:r>
        <w:r w:rsidR="00DB4BE3">
          <w:rPr>
            <w:noProof/>
          </w:rPr>
          <w:t>75</w:t>
        </w:r>
        <w:r w:rsidR="00280B51">
          <w:rPr>
            <w:noProof/>
          </w:rPr>
          <w:fldChar w:fldCharType="end"/>
        </w:r>
      </w:hyperlink>
    </w:p>
    <w:p w14:paraId="18FE7855" w14:textId="043192E9" w:rsidR="00515379" w:rsidRPr="00CF0DF4" w:rsidRDefault="00DC03CF" w:rsidP="00705F95">
      <w:pPr>
        <w:pStyle w:val="Heading1"/>
        <w:jc w:val="left"/>
        <w:rPr>
          <w:lang w:val="en-US"/>
        </w:rPr>
      </w:pPr>
      <w:r w:rsidRPr="00CF0DF4">
        <w:rPr>
          <w:b w:val="0"/>
          <w:sz w:val="28"/>
          <w:lang w:val="en-US"/>
        </w:rPr>
        <w:fldChar w:fldCharType="end"/>
      </w:r>
      <w:bookmarkStart w:id="1" w:name="__RefHeading___Toc30864_193945643"/>
      <w:r w:rsidR="00515379" w:rsidRPr="00CF0DF4">
        <w:rPr>
          <w:lang w:val="en-US"/>
        </w:rPr>
        <w:br w:type="page"/>
      </w:r>
    </w:p>
    <w:p w14:paraId="3C71C438" w14:textId="77777777" w:rsidR="00E11436" w:rsidRPr="00CF0DF4" w:rsidRDefault="00E11436" w:rsidP="00BA53A2">
      <w:pPr>
        <w:pStyle w:val="Heading1"/>
        <w:rPr>
          <w:lang w:val="en-US"/>
        </w:rPr>
      </w:pPr>
      <w:bookmarkStart w:id="2" w:name="_Toc109123089"/>
      <w:bookmarkStart w:id="3" w:name="__RefHeading___Toc10942_315254120"/>
      <w:bookmarkEnd w:id="1"/>
      <w:r w:rsidRPr="00CF0DF4">
        <w:rPr>
          <w:lang w:val="en-US"/>
        </w:rPr>
        <w:lastRenderedPageBreak/>
        <w:t>LIST OF FIGURES</w:t>
      </w:r>
      <w:bookmarkEnd w:id="2"/>
    </w:p>
    <w:p w14:paraId="1F838861" w14:textId="0A1D4E90" w:rsidR="00280B51" w:rsidRDefault="00E11436">
      <w:pPr>
        <w:pStyle w:val="TableofFigures"/>
        <w:rPr>
          <w:rFonts w:asciiTheme="minorHAnsi" w:eastAsiaTheme="minorEastAsia" w:hAnsiTheme="minorHAnsi" w:cstheme="minorBidi"/>
          <w:kern w:val="0"/>
          <w:sz w:val="22"/>
          <w:szCs w:val="22"/>
          <w:lang w:val="en-US" w:eastAsia="en-US" w:bidi="ar-SA"/>
        </w:rPr>
      </w:pPr>
      <w:r w:rsidRPr="00CF0DF4">
        <w:rPr>
          <w:lang w:val="en-US"/>
        </w:rPr>
        <w:fldChar w:fldCharType="begin"/>
      </w:r>
      <w:r w:rsidRPr="00CF0DF4">
        <w:rPr>
          <w:lang w:val="en-US"/>
        </w:rPr>
        <w:instrText xml:space="preserve"> TOC \h \z \c "Figure" </w:instrText>
      </w:r>
      <w:r w:rsidRPr="00CF0DF4">
        <w:rPr>
          <w:lang w:val="en-US"/>
        </w:rPr>
        <w:fldChar w:fldCharType="separate"/>
      </w:r>
      <w:hyperlink w:anchor="_Toc109123114" w:history="1">
        <w:r w:rsidR="00280B51" w:rsidRPr="00ED6AEC">
          <w:rPr>
            <w:rStyle w:val="Hyperlink"/>
          </w:rPr>
          <w:t>Figure 1: Schematic showing images of the Two-Dimensional Optical Array Cloud (2D-C) Probe, Two-Dimensional Stereo (2D-S) Probe, and High Volume Precipitation Spectrometer Version 3 (HVPS3) mounted on the University of North Dakota Citation II Research Aircraft. Additional probes are shown and mounted on the aircraft but are not highlighted.</w:t>
        </w:r>
        <w:r w:rsidR="00280B51">
          <w:rPr>
            <w:webHidden/>
          </w:rPr>
          <w:tab/>
        </w:r>
        <w:r w:rsidR="00280B51">
          <w:rPr>
            <w:webHidden/>
          </w:rPr>
          <w:fldChar w:fldCharType="begin"/>
        </w:r>
        <w:r w:rsidR="00280B51">
          <w:rPr>
            <w:webHidden/>
          </w:rPr>
          <w:instrText xml:space="preserve"> PAGEREF _Toc109123114 \h </w:instrText>
        </w:r>
        <w:r w:rsidR="00280B51">
          <w:rPr>
            <w:webHidden/>
          </w:rPr>
        </w:r>
        <w:r w:rsidR="00280B51">
          <w:rPr>
            <w:webHidden/>
          </w:rPr>
          <w:fldChar w:fldCharType="separate"/>
        </w:r>
        <w:r w:rsidR="00DB4BE3">
          <w:rPr>
            <w:webHidden/>
          </w:rPr>
          <w:t>14</w:t>
        </w:r>
        <w:r w:rsidR="00280B51">
          <w:rPr>
            <w:webHidden/>
          </w:rPr>
          <w:fldChar w:fldCharType="end"/>
        </w:r>
      </w:hyperlink>
    </w:p>
    <w:p w14:paraId="1413B62D" w14:textId="551FA4C4"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15" w:history="1">
        <w:r w:rsidR="00280B51" w:rsidRPr="00ED6AEC">
          <w:rPr>
            <w:rStyle w:val="Hyperlink"/>
          </w:rPr>
          <w:t>Figure 2: Figure showing area ratio configuration for a 600 µm circular hydrometeor as imaged by the Two-Dimensional Stereo (2D-S) Probe (thin grid) and the High Volume Precipitation Spectrometer Version 3 (HVPS3) (thick grid).</w:t>
        </w:r>
        <w:r w:rsidR="00280B51">
          <w:rPr>
            <w:webHidden/>
          </w:rPr>
          <w:tab/>
        </w:r>
        <w:r w:rsidR="00280B51">
          <w:rPr>
            <w:webHidden/>
          </w:rPr>
          <w:fldChar w:fldCharType="begin"/>
        </w:r>
        <w:r w:rsidR="00280B51">
          <w:rPr>
            <w:webHidden/>
          </w:rPr>
          <w:instrText xml:space="preserve"> PAGEREF _Toc109123115 \h </w:instrText>
        </w:r>
        <w:r w:rsidR="00280B51">
          <w:rPr>
            <w:webHidden/>
          </w:rPr>
        </w:r>
        <w:r w:rsidR="00280B51">
          <w:rPr>
            <w:webHidden/>
          </w:rPr>
          <w:fldChar w:fldCharType="separate"/>
        </w:r>
        <w:r w:rsidR="00DB4BE3">
          <w:rPr>
            <w:webHidden/>
          </w:rPr>
          <w:t>18</w:t>
        </w:r>
        <w:r w:rsidR="00280B51">
          <w:rPr>
            <w:webHidden/>
          </w:rPr>
          <w:fldChar w:fldCharType="end"/>
        </w:r>
      </w:hyperlink>
    </w:p>
    <w:p w14:paraId="53409405" w14:textId="4DA13B54"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16" w:history="1">
        <w:r w:rsidR="00280B51" w:rsidRPr="00ED6AEC">
          <w:rPr>
            <w:rStyle w:val="Hyperlink"/>
          </w:rPr>
          <w:t>Figure 3: The ice-bulb temperature compared to wet-bulb temperature for varying air temperatures as a function of relative humidity at 500 hPa (left) and 1,000 hPa (right). The air temperature used to calculate the bulb temperatures uses integer values ranging from 0 °C to 4 °C at 1 °C intervals (top to bottom line series in each plot).</w:t>
        </w:r>
        <w:r w:rsidR="00280B51">
          <w:rPr>
            <w:webHidden/>
          </w:rPr>
          <w:tab/>
        </w:r>
        <w:r w:rsidR="00280B51">
          <w:rPr>
            <w:webHidden/>
          </w:rPr>
          <w:fldChar w:fldCharType="begin"/>
        </w:r>
        <w:r w:rsidR="00280B51">
          <w:rPr>
            <w:webHidden/>
          </w:rPr>
          <w:instrText xml:space="preserve"> PAGEREF _Toc109123116 \h </w:instrText>
        </w:r>
        <w:r w:rsidR="00280B51">
          <w:rPr>
            <w:webHidden/>
          </w:rPr>
        </w:r>
        <w:r w:rsidR="00280B51">
          <w:rPr>
            <w:webHidden/>
          </w:rPr>
          <w:fldChar w:fldCharType="separate"/>
        </w:r>
        <w:r w:rsidR="00DB4BE3">
          <w:rPr>
            <w:webHidden/>
          </w:rPr>
          <w:t>20</w:t>
        </w:r>
        <w:r w:rsidR="00280B51">
          <w:rPr>
            <w:webHidden/>
          </w:rPr>
          <w:fldChar w:fldCharType="end"/>
        </w:r>
      </w:hyperlink>
    </w:p>
    <w:p w14:paraId="6F7B5C14" w14:textId="3CA2864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17" w:history="1">
        <w:r w:rsidR="00280B51" w:rsidRPr="00ED6AEC">
          <w:rPr>
            <w:rStyle w:val="Hyperlink"/>
          </w:rPr>
          <w:t>Figure 4: The 0 °C ice-bulb isotherm (black line) at 1,000 hPa (left) and 500 hPa (right).</w:t>
        </w:r>
        <w:r w:rsidR="00280B51">
          <w:rPr>
            <w:webHidden/>
          </w:rPr>
          <w:tab/>
        </w:r>
        <w:r w:rsidR="00280B51">
          <w:rPr>
            <w:webHidden/>
          </w:rPr>
          <w:fldChar w:fldCharType="begin"/>
        </w:r>
        <w:r w:rsidR="00280B51">
          <w:rPr>
            <w:webHidden/>
          </w:rPr>
          <w:instrText xml:space="preserve"> PAGEREF _Toc109123117 \h </w:instrText>
        </w:r>
        <w:r w:rsidR="00280B51">
          <w:rPr>
            <w:webHidden/>
          </w:rPr>
        </w:r>
        <w:r w:rsidR="00280B51">
          <w:rPr>
            <w:webHidden/>
          </w:rPr>
          <w:fldChar w:fldCharType="separate"/>
        </w:r>
        <w:r w:rsidR="00DB4BE3">
          <w:rPr>
            <w:webHidden/>
          </w:rPr>
          <w:t>21</w:t>
        </w:r>
        <w:r w:rsidR="00280B51">
          <w:rPr>
            <w:webHidden/>
          </w:rPr>
          <w:fldChar w:fldCharType="end"/>
        </w:r>
      </w:hyperlink>
    </w:p>
    <w:p w14:paraId="6A886A6B" w14:textId="7910FBBF"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18" w:history="1">
        <w:r w:rsidR="00280B51" w:rsidRPr="00ED6AEC">
          <w:rPr>
            <w:rStyle w:val="Hyperlink"/>
          </w:rPr>
          <w:t>Figure 5: Plot detailing a melting layer profile from 12 NOV 15 during the OLYMPEX field campaign. The total concentration (bottom x-axis) is summed for all channels of the HVPS3 probe, shown in the filled contour. Time is shown in seconds from midnight (sfm). Data are averaged every five seconds to smooth out spikes.</w:t>
        </w:r>
        <w:r w:rsidR="00280B51">
          <w:rPr>
            <w:webHidden/>
          </w:rPr>
          <w:tab/>
        </w:r>
        <w:r w:rsidR="00280B51">
          <w:rPr>
            <w:webHidden/>
          </w:rPr>
          <w:fldChar w:fldCharType="begin"/>
        </w:r>
        <w:r w:rsidR="00280B51">
          <w:rPr>
            <w:webHidden/>
          </w:rPr>
          <w:instrText xml:space="preserve"> PAGEREF _Toc109123118 \h </w:instrText>
        </w:r>
        <w:r w:rsidR="00280B51">
          <w:rPr>
            <w:webHidden/>
          </w:rPr>
        </w:r>
        <w:r w:rsidR="00280B51">
          <w:rPr>
            <w:webHidden/>
          </w:rPr>
          <w:fldChar w:fldCharType="separate"/>
        </w:r>
        <w:r w:rsidR="00DB4BE3">
          <w:rPr>
            <w:webHidden/>
          </w:rPr>
          <w:t>24</w:t>
        </w:r>
        <w:r w:rsidR="00280B51">
          <w:rPr>
            <w:webHidden/>
          </w:rPr>
          <w:fldChar w:fldCharType="end"/>
        </w:r>
      </w:hyperlink>
    </w:p>
    <w:p w14:paraId="0E676E28" w14:textId="04E1D8C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19" w:history="1">
        <w:r w:rsidR="00280B51" w:rsidRPr="00ED6AEC">
          <w:rPr>
            <w:rStyle w:val="Hyperlink"/>
          </w:rPr>
          <w:t>Figure 6: Images from the (a) High Volume Precipitation Spectrometer Version 3 (HVPS3) probe and (b) Two Dimensional Stereo (2D-S) probe depicting the transition from frozen to liquid hydrometeors during a melting layer penetration on 12 NOV 15 during OLYMPEX. The images from the two probes are taken at the same time in seconds from midnight (sfm), showing three stages of hydrometeors: 1) frozen hydrometeors (top; 75571 sfm); 2) mixed hydrometeors (middle; 75586 sfm); 3) liquid hydrometeors (bottom; 75628 sfm). Each image is 128 pixels tall with a pixel resolution of 150 µm for the HVPS3 and 10 µm for the 2D-S.</w:t>
        </w:r>
        <w:r w:rsidR="00280B51">
          <w:rPr>
            <w:webHidden/>
          </w:rPr>
          <w:tab/>
        </w:r>
        <w:r w:rsidR="00280B51">
          <w:rPr>
            <w:webHidden/>
          </w:rPr>
          <w:fldChar w:fldCharType="begin"/>
        </w:r>
        <w:r w:rsidR="00280B51">
          <w:rPr>
            <w:webHidden/>
          </w:rPr>
          <w:instrText xml:space="preserve"> PAGEREF _Toc109123119 \h </w:instrText>
        </w:r>
        <w:r w:rsidR="00280B51">
          <w:rPr>
            <w:webHidden/>
          </w:rPr>
        </w:r>
        <w:r w:rsidR="00280B51">
          <w:rPr>
            <w:webHidden/>
          </w:rPr>
          <w:fldChar w:fldCharType="separate"/>
        </w:r>
        <w:r w:rsidR="00DB4BE3">
          <w:rPr>
            <w:webHidden/>
          </w:rPr>
          <w:t>25</w:t>
        </w:r>
        <w:r w:rsidR="00280B51">
          <w:rPr>
            <w:webHidden/>
          </w:rPr>
          <w:fldChar w:fldCharType="end"/>
        </w:r>
      </w:hyperlink>
    </w:p>
    <w:p w14:paraId="30F99B7F" w14:textId="7E319944"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0" w:history="1">
        <w:r w:rsidR="00280B51" w:rsidRPr="00ED6AEC">
          <w:rPr>
            <w:rStyle w:val="Hyperlink"/>
          </w:rPr>
          <w:t>Figure 7: Plots showing the melting layer penetration types: (a) ramp ascent on 12 NOV 2015 during OLYMPEX and (b) spiral descent on 11 MAY 10 during MC3E. The altitude of the flight path (solid blue line) and its surface projection (dashed blue line) is from the 0 °C isotherm to the melting layer bottom. The X Distance shown is latitudinal distance and the Y Distance is longitudinal distance.</w:t>
        </w:r>
        <w:r w:rsidR="00280B51">
          <w:rPr>
            <w:webHidden/>
          </w:rPr>
          <w:tab/>
        </w:r>
        <w:r w:rsidR="00280B51">
          <w:rPr>
            <w:webHidden/>
          </w:rPr>
          <w:fldChar w:fldCharType="begin"/>
        </w:r>
        <w:r w:rsidR="00280B51">
          <w:rPr>
            <w:webHidden/>
          </w:rPr>
          <w:instrText xml:space="preserve"> PAGEREF _Toc109123120 \h </w:instrText>
        </w:r>
        <w:r w:rsidR="00280B51">
          <w:rPr>
            <w:webHidden/>
          </w:rPr>
        </w:r>
        <w:r w:rsidR="00280B51">
          <w:rPr>
            <w:webHidden/>
          </w:rPr>
          <w:fldChar w:fldCharType="separate"/>
        </w:r>
        <w:r w:rsidR="00DB4BE3">
          <w:rPr>
            <w:webHidden/>
          </w:rPr>
          <w:t>26</w:t>
        </w:r>
        <w:r w:rsidR="00280B51">
          <w:rPr>
            <w:webHidden/>
          </w:rPr>
          <w:fldChar w:fldCharType="end"/>
        </w:r>
      </w:hyperlink>
    </w:p>
    <w:p w14:paraId="72CF1BFE" w14:textId="3FB5EF07"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1" w:history="1">
        <w:r w:rsidR="00280B51" w:rsidRPr="00ED6AEC">
          <w:rPr>
            <w:rStyle w:val="Hyperlink"/>
          </w:rPr>
          <w:t>Figure 8: Plots showing melting layer changes in the hydrometeor size distribution for the Two-Dimensional Stereo (2D-S) probe (left) and the High Volume Precipitation Spectrum Version 3 (HVPS3) probe (right) for two cases: 12 NOV 2015 (top) and 12 DEC 2015 (bottom) during OLYMPEX. The horizontal solid black line depicts the melting layer top and dashed black line depicts the melting layer bottom. Relative humidity (purple line) is averaged every 5 s. Channel sizes used in the spectrum are given in Table 2.</w:t>
        </w:r>
        <w:r w:rsidR="00280B51">
          <w:rPr>
            <w:webHidden/>
          </w:rPr>
          <w:tab/>
        </w:r>
        <w:r w:rsidR="00280B51">
          <w:rPr>
            <w:webHidden/>
          </w:rPr>
          <w:fldChar w:fldCharType="begin"/>
        </w:r>
        <w:r w:rsidR="00280B51">
          <w:rPr>
            <w:webHidden/>
          </w:rPr>
          <w:instrText xml:space="preserve"> PAGEREF _Toc109123121 \h </w:instrText>
        </w:r>
        <w:r w:rsidR="00280B51">
          <w:rPr>
            <w:webHidden/>
          </w:rPr>
        </w:r>
        <w:r w:rsidR="00280B51">
          <w:rPr>
            <w:webHidden/>
          </w:rPr>
          <w:fldChar w:fldCharType="separate"/>
        </w:r>
        <w:r w:rsidR="00DB4BE3">
          <w:rPr>
            <w:webHidden/>
          </w:rPr>
          <w:t>28</w:t>
        </w:r>
        <w:r w:rsidR="00280B51">
          <w:rPr>
            <w:webHidden/>
          </w:rPr>
          <w:fldChar w:fldCharType="end"/>
        </w:r>
      </w:hyperlink>
    </w:p>
    <w:p w14:paraId="0E71DCB5" w14:textId="28414EA5"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2" w:history="1">
        <w:r w:rsidR="00280B51" w:rsidRPr="00ED6AEC">
          <w:rPr>
            <w:rStyle w:val="Hyperlink"/>
          </w:rPr>
          <w:t>Figure 9: Plot showing area ratio measurements from the Two-Dimensional Stereo (2D-S) probe 1 s spectrum (left) and 5 s spectrum (right) for the 12 DEC 2015 case. The horizontal solid black line depicts the melting layer top and dashed black line depicts the melting layer bottom. Relative humidity (purple line) is averaged every 5 s. Channel sizes used in the spectrum are given in Table 2.</w:t>
        </w:r>
        <w:r w:rsidR="00280B51">
          <w:rPr>
            <w:webHidden/>
          </w:rPr>
          <w:tab/>
        </w:r>
        <w:r w:rsidR="00280B51">
          <w:rPr>
            <w:webHidden/>
          </w:rPr>
          <w:fldChar w:fldCharType="begin"/>
        </w:r>
        <w:r w:rsidR="00280B51">
          <w:rPr>
            <w:webHidden/>
          </w:rPr>
          <w:instrText xml:space="preserve"> PAGEREF _Toc109123122 \h </w:instrText>
        </w:r>
        <w:r w:rsidR="00280B51">
          <w:rPr>
            <w:webHidden/>
          </w:rPr>
        </w:r>
        <w:r w:rsidR="00280B51">
          <w:rPr>
            <w:webHidden/>
          </w:rPr>
          <w:fldChar w:fldCharType="separate"/>
        </w:r>
        <w:r w:rsidR="00DB4BE3">
          <w:rPr>
            <w:webHidden/>
          </w:rPr>
          <w:t>29</w:t>
        </w:r>
        <w:r w:rsidR="00280B51">
          <w:rPr>
            <w:webHidden/>
          </w:rPr>
          <w:fldChar w:fldCharType="end"/>
        </w:r>
      </w:hyperlink>
    </w:p>
    <w:p w14:paraId="412CC1ED" w14:textId="0D7CE67B"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3" w:history="1">
        <w:r w:rsidR="00280B51" w:rsidRPr="00ED6AEC">
          <w:rPr>
            <w:rStyle w:val="Hyperlink"/>
          </w:rPr>
          <w:t xml:space="preserve">Figure 10: Plot showing area ratio measurements for the Two-Dimensional Stereo (2D-S) probe (blue) and the High Volume Precipitation Spectrum Version 3 (red) on 12 DEC 15 during OLYMPEX field project. The time period from 64,266 seconds from midnight (sfm) to 69,266 </w:t>
        </w:r>
        <w:r w:rsidR="00280B51" w:rsidRPr="00ED6AEC">
          <w:rPr>
            <w:rStyle w:val="Hyperlink"/>
          </w:rPr>
          <w:lastRenderedPageBreak/>
          <w:t>sfm is used to give 83 min and 20 s of measurements above the metling layer</w:t>
        </w:r>
        <w:r w:rsidR="00280B51" w:rsidRPr="00ED6AEC">
          <w:rPr>
            <w:rStyle w:val="Hyperlink"/>
            <w:rFonts w:eastAsia="NSimSun" w:cs="Mangal"/>
          </w:rPr>
          <w:t>.</w:t>
        </w:r>
        <w:r w:rsidR="00280B51" w:rsidRPr="00ED6AEC">
          <w:rPr>
            <w:rStyle w:val="Hyperlink"/>
          </w:rPr>
          <w:t xml:space="preserve"> Channel sizes used in the spectrum are given in Table 2.</w:t>
        </w:r>
        <w:r w:rsidR="00280B51">
          <w:rPr>
            <w:webHidden/>
          </w:rPr>
          <w:tab/>
        </w:r>
        <w:r w:rsidR="00280B51">
          <w:rPr>
            <w:webHidden/>
          </w:rPr>
          <w:fldChar w:fldCharType="begin"/>
        </w:r>
        <w:r w:rsidR="00280B51">
          <w:rPr>
            <w:webHidden/>
          </w:rPr>
          <w:instrText xml:space="preserve"> PAGEREF _Toc109123123 \h </w:instrText>
        </w:r>
        <w:r w:rsidR="00280B51">
          <w:rPr>
            <w:webHidden/>
          </w:rPr>
        </w:r>
        <w:r w:rsidR="00280B51">
          <w:rPr>
            <w:webHidden/>
          </w:rPr>
          <w:fldChar w:fldCharType="separate"/>
        </w:r>
        <w:r w:rsidR="00DB4BE3">
          <w:rPr>
            <w:webHidden/>
          </w:rPr>
          <w:t>30</w:t>
        </w:r>
        <w:r w:rsidR="00280B51">
          <w:rPr>
            <w:webHidden/>
          </w:rPr>
          <w:fldChar w:fldCharType="end"/>
        </w:r>
      </w:hyperlink>
    </w:p>
    <w:p w14:paraId="6D188773" w14:textId="7C8ED814"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4" w:history="1">
        <w:r w:rsidR="00280B51" w:rsidRPr="00ED6AEC">
          <w:rPr>
            <w:rStyle w:val="Hyperlink"/>
          </w:rPr>
          <w:t xml:space="preserve">Figure 11: Plots showing hydrometeor concentration (left) and area ratio (right) through the melting layer during the OLYMPEX_Ram_Des_100RH case (Table 5). The High Volume Precipitation Spectrometer Version 3 (HVPS3) probe measurements are from 1 s spectra, whereas measurements of relative humidity with respect to water (RH) are 5 s averages. </w:t>
        </w:r>
        <w:r w:rsidR="00280B51" w:rsidRPr="00ED6AEC">
          <w:rPr>
            <w:rStyle w:val="Hyperlink"/>
            <w:rFonts w:eastAsia="Times New Roman" w:cs="Times New Roman"/>
          </w:rPr>
          <w:t>Horizontal black lines depict the time and altitude of the 0 °C air temperature (T) isotherm, melting layer top at the 0 °C ice-bulb temperature (T</w:t>
        </w:r>
        <w:r w:rsidR="00280B51" w:rsidRPr="00ED6AEC">
          <w:rPr>
            <w:rStyle w:val="Hyperlink"/>
            <w:rFonts w:eastAsia="Times New Roman" w:cs="Times New Roman"/>
            <w:vertAlign w:val="subscript"/>
          </w:rPr>
          <w:t>IB</w:t>
        </w:r>
        <w:r w:rsidR="00280B51" w:rsidRPr="00ED6AEC">
          <w:rPr>
            <w:rStyle w:val="Hyperlink"/>
            <w:rFonts w:eastAsia="Times New Roman" w:cs="Times New Roman"/>
          </w:rPr>
          <w:t>) isotherm, and the melting layer bottom where all hydrometeors are ‘melted’.</w:t>
        </w:r>
        <w:r w:rsidR="00280B51" w:rsidRPr="00ED6AEC">
          <w:rPr>
            <w:rStyle w:val="Hyperlink"/>
          </w:rPr>
          <w:t xml:space="preserve"> Altitude is shown on the righ</w:t>
        </w:r>
        <w:r w:rsidR="00280B51" w:rsidRPr="00ED6AEC">
          <w:rPr>
            <w:rStyle w:val="Hyperlink"/>
            <w:rFonts w:eastAsia="Times New Roman" w:cs="Times New Roman"/>
          </w:rPr>
          <w:t xml:space="preserve">t y-axis that corresponds with every time tick on the left y-axis. </w:t>
        </w:r>
        <w:r w:rsidR="00280B51" w:rsidRPr="00ED6AEC">
          <w:rPr>
            <w:rStyle w:val="Hyperlink"/>
          </w:rPr>
          <w:t>Concentration (left) is colored on a logarithmic scale, while area ratio (right) is colored on a linear scale. Hydrometeor diameter on the bottom x-axis is plotted on a logarithmic scale, based on the HVPS3 bins defined in Table 2.</w:t>
        </w:r>
        <w:r w:rsidR="00280B51">
          <w:rPr>
            <w:webHidden/>
          </w:rPr>
          <w:tab/>
        </w:r>
        <w:r w:rsidR="00280B51">
          <w:rPr>
            <w:webHidden/>
          </w:rPr>
          <w:fldChar w:fldCharType="begin"/>
        </w:r>
        <w:r w:rsidR="00280B51">
          <w:rPr>
            <w:webHidden/>
          </w:rPr>
          <w:instrText xml:space="preserve"> PAGEREF _Toc109123124 \h </w:instrText>
        </w:r>
        <w:r w:rsidR="00280B51">
          <w:rPr>
            <w:webHidden/>
          </w:rPr>
        </w:r>
        <w:r w:rsidR="00280B51">
          <w:rPr>
            <w:webHidden/>
          </w:rPr>
          <w:fldChar w:fldCharType="separate"/>
        </w:r>
        <w:r w:rsidR="00DB4BE3">
          <w:rPr>
            <w:webHidden/>
          </w:rPr>
          <w:t>34</w:t>
        </w:r>
        <w:r w:rsidR="00280B51">
          <w:rPr>
            <w:webHidden/>
          </w:rPr>
          <w:fldChar w:fldCharType="end"/>
        </w:r>
      </w:hyperlink>
    </w:p>
    <w:p w14:paraId="61112543" w14:textId="3928CB30"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5" w:history="1">
        <w:r w:rsidR="00280B51" w:rsidRPr="00ED6AEC">
          <w:rPr>
            <w:rStyle w:val="Hyperlink"/>
          </w:rPr>
          <w:t xml:space="preserve">Figure 12: Plots showing the hydrometeor spectrum through the melting layer. The exponential fit of the slope parameter (left) and intercept parameter (right) are from 5 s averages of the 1 s spectrum from the High Volume Precipitation Spectrometer Version 3 (HVPS3) probe during the OLYMPEX_Ram_Des_100RH case (Table 5). Relative humidity with respect to water (RH) data are 5 s averages. </w:t>
        </w:r>
        <w:r w:rsidR="00280B51" w:rsidRPr="00ED6AEC">
          <w:rPr>
            <w:rStyle w:val="Hyperlink"/>
            <w:rFonts w:eastAsia="Times New Roman" w:cs="Times New Roman"/>
          </w:rPr>
          <w:t>Horizontal black lines depict the time and altitude of the 0 °C air temperature (T) isotherm, melting layer top at the 0 °C ice-bulb temperature (T</w:t>
        </w:r>
        <w:r w:rsidR="00280B51" w:rsidRPr="00ED6AEC">
          <w:rPr>
            <w:rStyle w:val="Hyperlink"/>
            <w:rFonts w:eastAsia="Times New Roman" w:cs="Times New Roman"/>
            <w:vertAlign w:val="subscript"/>
          </w:rPr>
          <w:t>IB</w:t>
        </w:r>
        <w:r w:rsidR="00280B51" w:rsidRPr="00ED6AEC">
          <w:rPr>
            <w:rStyle w:val="Hyperlink"/>
            <w:rFonts w:eastAsia="Times New Roman" w:cs="Times New Roman"/>
          </w:rPr>
          <w:t>) isotherm, and the melting layer bottom where all hydrometeors are ‘melted’</w:t>
        </w:r>
        <w:r w:rsidR="00280B51">
          <w:rPr>
            <w:webHidden/>
          </w:rPr>
          <w:tab/>
        </w:r>
        <w:r w:rsidR="00280B51">
          <w:rPr>
            <w:webHidden/>
          </w:rPr>
          <w:fldChar w:fldCharType="begin"/>
        </w:r>
        <w:r w:rsidR="00280B51">
          <w:rPr>
            <w:webHidden/>
          </w:rPr>
          <w:instrText xml:space="preserve"> PAGEREF _Toc109123125 \h </w:instrText>
        </w:r>
        <w:r w:rsidR="00280B51">
          <w:rPr>
            <w:webHidden/>
          </w:rPr>
        </w:r>
        <w:r w:rsidR="00280B51">
          <w:rPr>
            <w:webHidden/>
          </w:rPr>
          <w:fldChar w:fldCharType="separate"/>
        </w:r>
        <w:r w:rsidR="00DB4BE3">
          <w:rPr>
            <w:webHidden/>
          </w:rPr>
          <w:t>36</w:t>
        </w:r>
        <w:r w:rsidR="00280B51">
          <w:rPr>
            <w:webHidden/>
          </w:rPr>
          <w:fldChar w:fldCharType="end"/>
        </w:r>
      </w:hyperlink>
    </w:p>
    <w:p w14:paraId="69CF5720" w14:textId="5C38D65F"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6" w:history="1">
        <w:r w:rsidR="00280B51" w:rsidRPr="00ED6AEC">
          <w:rPr>
            <w:rStyle w:val="Hyperlink"/>
          </w:rPr>
          <w:t>Figure 13: Plots similar to Figure 11, except for showing the melting layer for the GCPEX_Spi-Asc_100RH case (Table 5).</w:t>
        </w:r>
        <w:r w:rsidR="00280B51">
          <w:rPr>
            <w:webHidden/>
          </w:rPr>
          <w:tab/>
        </w:r>
        <w:r w:rsidR="00280B51">
          <w:rPr>
            <w:webHidden/>
          </w:rPr>
          <w:fldChar w:fldCharType="begin"/>
        </w:r>
        <w:r w:rsidR="00280B51">
          <w:rPr>
            <w:webHidden/>
          </w:rPr>
          <w:instrText xml:space="preserve"> PAGEREF _Toc109123126 \h </w:instrText>
        </w:r>
        <w:r w:rsidR="00280B51">
          <w:rPr>
            <w:webHidden/>
          </w:rPr>
        </w:r>
        <w:r w:rsidR="00280B51">
          <w:rPr>
            <w:webHidden/>
          </w:rPr>
          <w:fldChar w:fldCharType="separate"/>
        </w:r>
        <w:r w:rsidR="00DB4BE3">
          <w:rPr>
            <w:webHidden/>
          </w:rPr>
          <w:t>37</w:t>
        </w:r>
        <w:r w:rsidR="00280B51">
          <w:rPr>
            <w:webHidden/>
          </w:rPr>
          <w:fldChar w:fldCharType="end"/>
        </w:r>
      </w:hyperlink>
    </w:p>
    <w:p w14:paraId="524E5405" w14:textId="05A4A66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7" w:history="1">
        <w:r w:rsidR="00280B51" w:rsidRPr="00ED6AEC">
          <w:rPr>
            <w:rStyle w:val="Hyperlink"/>
          </w:rPr>
          <w:t>Figure 14: Plots similar to Figure 11, except for showing the melting layer for the OLYMPEX_Spi-Des_100RHa case (Table 5).</w:t>
        </w:r>
        <w:r w:rsidR="00280B51">
          <w:rPr>
            <w:webHidden/>
          </w:rPr>
          <w:tab/>
        </w:r>
        <w:r w:rsidR="00280B51">
          <w:rPr>
            <w:webHidden/>
          </w:rPr>
          <w:fldChar w:fldCharType="begin"/>
        </w:r>
        <w:r w:rsidR="00280B51">
          <w:rPr>
            <w:webHidden/>
          </w:rPr>
          <w:instrText xml:space="preserve"> PAGEREF _Toc109123127 \h </w:instrText>
        </w:r>
        <w:r w:rsidR="00280B51">
          <w:rPr>
            <w:webHidden/>
          </w:rPr>
        </w:r>
        <w:r w:rsidR="00280B51">
          <w:rPr>
            <w:webHidden/>
          </w:rPr>
          <w:fldChar w:fldCharType="separate"/>
        </w:r>
        <w:r w:rsidR="00DB4BE3">
          <w:rPr>
            <w:webHidden/>
          </w:rPr>
          <w:t>38</w:t>
        </w:r>
        <w:r w:rsidR="00280B51">
          <w:rPr>
            <w:webHidden/>
          </w:rPr>
          <w:fldChar w:fldCharType="end"/>
        </w:r>
      </w:hyperlink>
    </w:p>
    <w:p w14:paraId="21FA2527" w14:textId="7534364C"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8" w:history="1">
        <w:r w:rsidR="00280B51" w:rsidRPr="00ED6AEC">
          <w:rPr>
            <w:rStyle w:val="Hyperlink"/>
          </w:rPr>
          <w:t>Figure 15: Plots similar to Figure 12, except for showing the melting layer for the OLYMPEX_Ram-Des_98RHb case (Table 5).</w:t>
        </w:r>
        <w:r w:rsidR="00280B51">
          <w:rPr>
            <w:webHidden/>
          </w:rPr>
          <w:tab/>
        </w:r>
        <w:r w:rsidR="00280B51">
          <w:rPr>
            <w:webHidden/>
          </w:rPr>
          <w:fldChar w:fldCharType="begin"/>
        </w:r>
        <w:r w:rsidR="00280B51">
          <w:rPr>
            <w:webHidden/>
          </w:rPr>
          <w:instrText xml:space="preserve"> PAGEREF _Toc109123128 \h </w:instrText>
        </w:r>
        <w:r w:rsidR="00280B51">
          <w:rPr>
            <w:webHidden/>
          </w:rPr>
        </w:r>
        <w:r w:rsidR="00280B51">
          <w:rPr>
            <w:webHidden/>
          </w:rPr>
          <w:fldChar w:fldCharType="separate"/>
        </w:r>
        <w:r w:rsidR="00DB4BE3">
          <w:rPr>
            <w:webHidden/>
          </w:rPr>
          <w:t>39</w:t>
        </w:r>
        <w:r w:rsidR="00280B51">
          <w:rPr>
            <w:webHidden/>
          </w:rPr>
          <w:fldChar w:fldCharType="end"/>
        </w:r>
      </w:hyperlink>
    </w:p>
    <w:p w14:paraId="146FFAC6" w14:textId="6A43809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29" w:history="1">
        <w:r w:rsidR="00280B51" w:rsidRPr="00ED6AEC">
          <w:rPr>
            <w:rStyle w:val="Hyperlink"/>
          </w:rPr>
          <w:t>Figure 16: Plots similar to Figure 12, except for showing the melting layer for the GCPEX_Spi-Asc_100RH case (Table 5).</w:t>
        </w:r>
        <w:r w:rsidR="00280B51">
          <w:rPr>
            <w:webHidden/>
          </w:rPr>
          <w:tab/>
        </w:r>
        <w:r w:rsidR="00280B51">
          <w:rPr>
            <w:webHidden/>
          </w:rPr>
          <w:fldChar w:fldCharType="begin"/>
        </w:r>
        <w:r w:rsidR="00280B51">
          <w:rPr>
            <w:webHidden/>
          </w:rPr>
          <w:instrText xml:space="preserve"> PAGEREF _Toc109123129 \h </w:instrText>
        </w:r>
        <w:r w:rsidR="00280B51">
          <w:rPr>
            <w:webHidden/>
          </w:rPr>
        </w:r>
        <w:r w:rsidR="00280B51">
          <w:rPr>
            <w:webHidden/>
          </w:rPr>
          <w:fldChar w:fldCharType="separate"/>
        </w:r>
        <w:r w:rsidR="00DB4BE3">
          <w:rPr>
            <w:webHidden/>
          </w:rPr>
          <w:t>40</w:t>
        </w:r>
        <w:r w:rsidR="00280B51">
          <w:rPr>
            <w:webHidden/>
          </w:rPr>
          <w:fldChar w:fldCharType="end"/>
        </w:r>
      </w:hyperlink>
    </w:p>
    <w:p w14:paraId="26F43AD9" w14:textId="7F785267"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0" w:history="1">
        <w:r w:rsidR="00280B51" w:rsidRPr="00ED6AEC">
          <w:rPr>
            <w:rStyle w:val="Hyperlink"/>
          </w:rPr>
          <w:t>Figure 17: Plots similar to Figure 11, except for showing the melting layer for the the OLYMPEX_Ram-Des_98RHa case (Table 5).</w:t>
        </w:r>
        <w:r w:rsidR="00280B51">
          <w:rPr>
            <w:webHidden/>
          </w:rPr>
          <w:tab/>
        </w:r>
        <w:r w:rsidR="00280B51">
          <w:rPr>
            <w:webHidden/>
          </w:rPr>
          <w:fldChar w:fldCharType="begin"/>
        </w:r>
        <w:r w:rsidR="00280B51">
          <w:rPr>
            <w:webHidden/>
          </w:rPr>
          <w:instrText xml:space="preserve"> PAGEREF _Toc109123130 \h </w:instrText>
        </w:r>
        <w:r w:rsidR="00280B51">
          <w:rPr>
            <w:webHidden/>
          </w:rPr>
        </w:r>
        <w:r w:rsidR="00280B51">
          <w:rPr>
            <w:webHidden/>
          </w:rPr>
          <w:fldChar w:fldCharType="separate"/>
        </w:r>
        <w:r w:rsidR="00DB4BE3">
          <w:rPr>
            <w:webHidden/>
          </w:rPr>
          <w:t>41</w:t>
        </w:r>
        <w:r w:rsidR="00280B51">
          <w:rPr>
            <w:webHidden/>
          </w:rPr>
          <w:fldChar w:fldCharType="end"/>
        </w:r>
      </w:hyperlink>
    </w:p>
    <w:p w14:paraId="02826429" w14:textId="43462DE8"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1" w:history="1">
        <w:r w:rsidR="00280B51" w:rsidRPr="00ED6AEC">
          <w:rPr>
            <w:rStyle w:val="Hyperlink"/>
          </w:rPr>
          <w:t>Figure 18: Plots similar to Figure 12, except for showing the melting layer for theOLYMPEX_Ram-Des_98RHa case (Table 5).</w:t>
        </w:r>
        <w:r w:rsidR="00280B51">
          <w:rPr>
            <w:webHidden/>
          </w:rPr>
          <w:tab/>
        </w:r>
        <w:r w:rsidR="00280B51">
          <w:rPr>
            <w:webHidden/>
          </w:rPr>
          <w:fldChar w:fldCharType="begin"/>
        </w:r>
        <w:r w:rsidR="00280B51">
          <w:rPr>
            <w:webHidden/>
          </w:rPr>
          <w:instrText xml:space="preserve"> PAGEREF _Toc109123131 \h </w:instrText>
        </w:r>
        <w:r w:rsidR="00280B51">
          <w:rPr>
            <w:webHidden/>
          </w:rPr>
        </w:r>
        <w:r w:rsidR="00280B51">
          <w:rPr>
            <w:webHidden/>
          </w:rPr>
          <w:fldChar w:fldCharType="separate"/>
        </w:r>
        <w:r w:rsidR="00DB4BE3">
          <w:rPr>
            <w:webHidden/>
          </w:rPr>
          <w:t>42</w:t>
        </w:r>
        <w:r w:rsidR="00280B51">
          <w:rPr>
            <w:webHidden/>
          </w:rPr>
          <w:fldChar w:fldCharType="end"/>
        </w:r>
      </w:hyperlink>
    </w:p>
    <w:p w14:paraId="5F493DC1" w14:textId="42C4FF2E"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2" w:history="1">
        <w:r w:rsidR="00280B51" w:rsidRPr="00ED6AEC">
          <w:rPr>
            <w:rStyle w:val="Hyperlink"/>
          </w:rPr>
          <w:t>Figure 19: Plots similar to Figure 11, except for showing the melting layer for the IPHEX_Spi-Asc_100RH case (Table 5).</w:t>
        </w:r>
        <w:r w:rsidR="00280B51">
          <w:rPr>
            <w:webHidden/>
          </w:rPr>
          <w:tab/>
        </w:r>
        <w:r w:rsidR="00280B51">
          <w:rPr>
            <w:webHidden/>
          </w:rPr>
          <w:fldChar w:fldCharType="begin"/>
        </w:r>
        <w:r w:rsidR="00280B51">
          <w:rPr>
            <w:webHidden/>
          </w:rPr>
          <w:instrText xml:space="preserve"> PAGEREF _Toc109123132 \h </w:instrText>
        </w:r>
        <w:r w:rsidR="00280B51">
          <w:rPr>
            <w:webHidden/>
          </w:rPr>
        </w:r>
        <w:r w:rsidR="00280B51">
          <w:rPr>
            <w:webHidden/>
          </w:rPr>
          <w:fldChar w:fldCharType="separate"/>
        </w:r>
        <w:r w:rsidR="00DB4BE3">
          <w:rPr>
            <w:webHidden/>
          </w:rPr>
          <w:t>43</w:t>
        </w:r>
        <w:r w:rsidR="00280B51">
          <w:rPr>
            <w:webHidden/>
          </w:rPr>
          <w:fldChar w:fldCharType="end"/>
        </w:r>
      </w:hyperlink>
    </w:p>
    <w:p w14:paraId="17D2EC2F" w14:textId="7FD29479"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3" w:history="1">
        <w:r w:rsidR="00280B51" w:rsidRPr="00ED6AEC">
          <w:rPr>
            <w:rStyle w:val="Hyperlink"/>
          </w:rPr>
          <w:t>Figure 20: Plots similar to Figure 11, except for showing the melting layer for the IPHEX_Ram-Asc_92RH case (Table 5).</w:t>
        </w:r>
        <w:r w:rsidR="00280B51">
          <w:rPr>
            <w:webHidden/>
          </w:rPr>
          <w:tab/>
        </w:r>
        <w:r w:rsidR="00280B51">
          <w:rPr>
            <w:webHidden/>
          </w:rPr>
          <w:fldChar w:fldCharType="begin"/>
        </w:r>
        <w:r w:rsidR="00280B51">
          <w:rPr>
            <w:webHidden/>
          </w:rPr>
          <w:instrText xml:space="preserve"> PAGEREF _Toc109123133 \h </w:instrText>
        </w:r>
        <w:r w:rsidR="00280B51">
          <w:rPr>
            <w:webHidden/>
          </w:rPr>
        </w:r>
        <w:r w:rsidR="00280B51">
          <w:rPr>
            <w:webHidden/>
          </w:rPr>
          <w:fldChar w:fldCharType="separate"/>
        </w:r>
        <w:r w:rsidR="00DB4BE3">
          <w:rPr>
            <w:webHidden/>
          </w:rPr>
          <w:t>44</w:t>
        </w:r>
        <w:r w:rsidR="00280B51">
          <w:rPr>
            <w:webHidden/>
          </w:rPr>
          <w:fldChar w:fldCharType="end"/>
        </w:r>
      </w:hyperlink>
    </w:p>
    <w:p w14:paraId="11BB941B" w14:textId="5544B66A"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4" w:history="1">
        <w:r w:rsidR="00280B51" w:rsidRPr="00ED6AEC">
          <w:rPr>
            <w:rStyle w:val="Hyperlink"/>
          </w:rPr>
          <w:t>Figure 21: Plots similar to Figure 11, except for showing the melting layer for the IMPACTS_Spi-Des_94RH case (Table 5).</w:t>
        </w:r>
        <w:r w:rsidR="00280B51">
          <w:rPr>
            <w:webHidden/>
          </w:rPr>
          <w:tab/>
        </w:r>
        <w:r w:rsidR="00280B51">
          <w:rPr>
            <w:webHidden/>
          </w:rPr>
          <w:fldChar w:fldCharType="begin"/>
        </w:r>
        <w:r w:rsidR="00280B51">
          <w:rPr>
            <w:webHidden/>
          </w:rPr>
          <w:instrText xml:space="preserve"> PAGEREF _Toc109123134 \h </w:instrText>
        </w:r>
        <w:r w:rsidR="00280B51">
          <w:rPr>
            <w:webHidden/>
          </w:rPr>
        </w:r>
        <w:r w:rsidR="00280B51">
          <w:rPr>
            <w:webHidden/>
          </w:rPr>
          <w:fldChar w:fldCharType="separate"/>
        </w:r>
        <w:r w:rsidR="00DB4BE3">
          <w:rPr>
            <w:webHidden/>
          </w:rPr>
          <w:t>45</w:t>
        </w:r>
        <w:r w:rsidR="00280B51">
          <w:rPr>
            <w:webHidden/>
          </w:rPr>
          <w:fldChar w:fldCharType="end"/>
        </w:r>
      </w:hyperlink>
    </w:p>
    <w:p w14:paraId="642D78CB" w14:textId="31CBA299"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5" w:history="1">
        <w:r w:rsidR="00280B51" w:rsidRPr="00ED6AEC">
          <w:rPr>
            <w:rStyle w:val="Hyperlink"/>
          </w:rPr>
          <w:t>Figure 22: Plots similar to Figure 12, except for showing the melting layer for the IMPACTS_Spi-Des_94RH case (Table 5).</w:t>
        </w:r>
        <w:r w:rsidR="00280B51">
          <w:rPr>
            <w:webHidden/>
          </w:rPr>
          <w:tab/>
        </w:r>
        <w:r w:rsidR="00280B51">
          <w:rPr>
            <w:webHidden/>
          </w:rPr>
          <w:fldChar w:fldCharType="begin"/>
        </w:r>
        <w:r w:rsidR="00280B51">
          <w:rPr>
            <w:webHidden/>
          </w:rPr>
          <w:instrText xml:space="preserve"> PAGEREF _Toc109123135 \h </w:instrText>
        </w:r>
        <w:r w:rsidR="00280B51">
          <w:rPr>
            <w:webHidden/>
          </w:rPr>
        </w:r>
        <w:r w:rsidR="00280B51">
          <w:rPr>
            <w:webHidden/>
          </w:rPr>
          <w:fldChar w:fldCharType="separate"/>
        </w:r>
        <w:r w:rsidR="00DB4BE3">
          <w:rPr>
            <w:webHidden/>
          </w:rPr>
          <w:t>46</w:t>
        </w:r>
        <w:r w:rsidR="00280B51">
          <w:rPr>
            <w:webHidden/>
          </w:rPr>
          <w:fldChar w:fldCharType="end"/>
        </w:r>
      </w:hyperlink>
    </w:p>
    <w:p w14:paraId="3F7FEB4C" w14:textId="1184BC0B"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6" w:history="1">
        <w:r w:rsidR="00280B51" w:rsidRPr="00ED6AEC">
          <w:rPr>
            <w:rStyle w:val="Hyperlink"/>
          </w:rPr>
          <w:t>Figure 23: Plots similar to Figure 5, except for showing the melting layer for the IMPACTS_Ram-Asc_95RH case (Table 5).</w:t>
        </w:r>
        <w:r w:rsidR="00280B51">
          <w:rPr>
            <w:webHidden/>
          </w:rPr>
          <w:tab/>
        </w:r>
        <w:r w:rsidR="00280B51">
          <w:rPr>
            <w:webHidden/>
          </w:rPr>
          <w:fldChar w:fldCharType="begin"/>
        </w:r>
        <w:r w:rsidR="00280B51">
          <w:rPr>
            <w:webHidden/>
          </w:rPr>
          <w:instrText xml:space="preserve"> PAGEREF _Toc109123136 \h </w:instrText>
        </w:r>
        <w:r w:rsidR="00280B51">
          <w:rPr>
            <w:webHidden/>
          </w:rPr>
        </w:r>
        <w:r w:rsidR="00280B51">
          <w:rPr>
            <w:webHidden/>
          </w:rPr>
          <w:fldChar w:fldCharType="separate"/>
        </w:r>
        <w:r w:rsidR="00DB4BE3">
          <w:rPr>
            <w:webHidden/>
          </w:rPr>
          <w:t>48</w:t>
        </w:r>
        <w:r w:rsidR="00280B51">
          <w:rPr>
            <w:webHidden/>
          </w:rPr>
          <w:fldChar w:fldCharType="end"/>
        </w:r>
      </w:hyperlink>
    </w:p>
    <w:p w14:paraId="29729D80" w14:textId="14ABA357"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7" w:history="1">
        <w:r w:rsidR="00280B51" w:rsidRPr="00ED6AEC">
          <w:rPr>
            <w:rStyle w:val="Hyperlink"/>
          </w:rPr>
          <w:t>Figure 24: Plots similar to Figure 5, except for showing the melting layer for the GCPEX_Spi-Asc_100RH case (Table 5).</w:t>
        </w:r>
        <w:r w:rsidR="00280B51">
          <w:rPr>
            <w:webHidden/>
          </w:rPr>
          <w:tab/>
        </w:r>
        <w:r w:rsidR="00280B51">
          <w:rPr>
            <w:webHidden/>
          </w:rPr>
          <w:fldChar w:fldCharType="begin"/>
        </w:r>
        <w:r w:rsidR="00280B51">
          <w:rPr>
            <w:webHidden/>
          </w:rPr>
          <w:instrText xml:space="preserve"> PAGEREF _Toc109123137 \h </w:instrText>
        </w:r>
        <w:r w:rsidR="00280B51">
          <w:rPr>
            <w:webHidden/>
          </w:rPr>
        </w:r>
        <w:r w:rsidR="00280B51">
          <w:rPr>
            <w:webHidden/>
          </w:rPr>
          <w:fldChar w:fldCharType="separate"/>
        </w:r>
        <w:r w:rsidR="00DB4BE3">
          <w:rPr>
            <w:webHidden/>
          </w:rPr>
          <w:t>49</w:t>
        </w:r>
        <w:r w:rsidR="00280B51">
          <w:rPr>
            <w:webHidden/>
          </w:rPr>
          <w:fldChar w:fldCharType="end"/>
        </w:r>
      </w:hyperlink>
    </w:p>
    <w:p w14:paraId="2D10F7A4" w14:textId="541320FD"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8" w:history="1">
        <w:r w:rsidR="00280B51" w:rsidRPr="00ED6AEC">
          <w:rPr>
            <w:rStyle w:val="Hyperlink"/>
          </w:rPr>
          <w:t>Figure 25: Plots similar to Figure 12, except for showing the melting layer for the MC3E_Ram-Asc_83RHa case (Table 5).</w:t>
        </w:r>
        <w:r w:rsidR="00280B51">
          <w:rPr>
            <w:webHidden/>
          </w:rPr>
          <w:tab/>
        </w:r>
        <w:r w:rsidR="00280B51">
          <w:rPr>
            <w:webHidden/>
          </w:rPr>
          <w:fldChar w:fldCharType="begin"/>
        </w:r>
        <w:r w:rsidR="00280B51">
          <w:rPr>
            <w:webHidden/>
          </w:rPr>
          <w:instrText xml:space="preserve"> PAGEREF _Toc109123138 \h </w:instrText>
        </w:r>
        <w:r w:rsidR="00280B51">
          <w:rPr>
            <w:webHidden/>
          </w:rPr>
        </w:r>
        <w:r w:rsidR="00280B51">
          <w:rPr>
            <w:webHidden/>
          </w:rPr>
          <w:fldChar w:fldCharType="separate"/>
        </w:r>
        <w:r w:rsidR="00DB4BE3">
          <w:rPr>
            <w:webHidden/>
          </w:rPr>
          <w:t>50</w:t>
        </w:r>
        <w:r w:rsidR="00280B51">
          <w:rPr>
            <w:webHidden/>
          </w:rPr>
          <w:fldChar w:fldCharType="end"/>
        </w:r>
      </w:hyperlink>
    </w:p>
    <w:p w14:paraId="7EF914A2" w14:textId="0B4C9F18"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39" w:history="1">
        <w:r w:rsidR="00280B51" w:rsidRPr="00ED6AEC">
          <w:rPr>
            <w:rStyle w:val="Hyperlink"/>
          </w:rPr>
          <w:t>Figure 26: Plots similar to Figure 12, except for showing the melting layer for the MC3E_Ram-Asc_83RHa case (Table 5).</w:t>
        </w:r>
        <w:r w:rsidR="00280B51">
          <w:rPr>
            <w:webHidden/>
          </w:rPr>
          <w:tab/>
        </w:r>
        <w:r w:rsidR="00280B51">
          <w:rPr>
            <w:webHidden/>
          </w:rPr>
          <w:fldChar w:fldCharType="begin"/>
        </w:r>
        <w:r w:rsidR="00280B51">
          <w:rPr>
            <w:webHidden/>
          </w:rPr>
          <w:instrText xml:space="preserve"> PAGEREF _Toc109123139 \h </w:instrText>
        </w:r>
        <w:r w:rsidR="00280B51">
          <w:rPr>
            <w:webHidden/>
          </w:rPr>
        </w:r>
        <w:r w:rsidR="00280B51">
          <w:rPr>
            <w:webHidden/>
          </w:rPr>
          <w:fldChar w:fldCharType="separate"/>
        </w:r>
        <w:r w:rsidR="00DB4BE3">
          <w:rPr>
            <w:webHidden/>
          </w:rPr>
          <w:t>51</w:t>
        </w:r>
        <w:r w:rsidR="00280B51">
          <w:rPr>
            <w:webHidden/>
          </w:rPr>
          <w:fldChar w:fldCharType="end"/>
        </w:r>
      </w:hyperlink>
    </w:p>
    <w:p w14:paraId="349984B0" w14:textId="6AF0D88F"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0" w:history="1">
        <w:r w:rsidR="00280B51" w:rsidRPr="00ED6AEC">
          <w:rPr>
            <w:rStyle w:val="Hyperlink"/>
          </w:rPr>
          <w:t>Figure 27: Plots similar to Figure 11, except for showing the melting layer for the GCPEX</w:t>
        </w:r>
        <w:r w:rsidR="008E77D5">
          <w:rPr>
            <w:rStyle w:val="Hyperlink"/>
          </w:rPr>
          <w:t>_Spi-</w:t>
        </w:r>
        <w:r w:rsidR="00280B51" w:rsidRPr="00ED6AEC">
          <w:rPr>
            <w:rStyle w:val="Hyperlink"/>
          </w:rPr>
          <w:t>Des_84RH case (Table 5).</w:t>
        </w:r>
        <w:r w:rsidR="00280B51">
          <w:rPr>
            <w:webHidden/>
          </w:rPr>
          <w:tab/>
        </w:r>
        <w:r w:rsidR="00280B51">
          <w:rPr>
            <w:webHidden/>
          </w:rPr>
          <w:fldChar w:fldCharType="begin"/>
        </w:r>
        <w:r w:rsidR="00280B51">
          <w:rPr>
            <w:webHidden/>
          </w:rPr>
          <w:instrText xml:space="preserve"> PAGEREF _Toc109123140 \h </w:instrText>
        </w:r>
        <w:r w:rsidR="00280B51">
          <w:rPr>
            <w:webHidden/>
          </w:rPr>
        </w:r>
        <w:r w:rsidR="00280B51">
          <w:rPr>
            <w:webHidden/>
          </w:rPr>
          <w:fldChar w:fldCharType="separate"/>
        </w:r>
        <w:r w:rsidR="00DB4BE3">
          <w:rPr>
            <w:webHidden/>
          </w:rPr>
          <w:t>52</w:t>
        </w:r>
        <w:r w:rsidR="00280B51">
          <w:rPr>
            <w:webHidden/>
          </w:rPr>
          <w:fldChar w:fldCharType="end"/>
        </w:r>
      </w:hyperlink>
    </w:p>
    <w:p w14:paraId="008414E8" w14:textId="01ADF597"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1" w:history="1">
        <w:r w:rsidR="00280B51" w:rsidRPr="00ED6AEC">
          <w:rPr>
            <w:rStyle w:val="Hyperlink"/>
          </w:rPr>
          <w:t>Figure 28: Plot showing the flight path (solid blue line) and the surface projection (dashed blue line) of the aircraft sampling two melting layers consecutively (</w:t>
        </w:r>
        <w:r w:rsidR="00280B51" w:rsidRPr="00ED6AEC">
          <w:rPr>
            <w:rStyle w:val="Hyperlink"/>
            <w:rFonts w:eastAsia="Times New Roman" w:cs="Times New Roman"/>
          </w:rPr>
          <w:t>MC3E_Ram-Des_79RH</w:t>
        </w:r>
        <w:r w:rsidR="00280B51" w:rsidRPr="00ED6AEC">
          <w:rPr>
            <w:rStyle w:val="Hyperlink"/>
          </w:rPr>
          <w:t xml:space="preserve"> and </w:t>
        </w:r>
        <w:r w:rsidR="00280B51" w:rsidRPr="00ED6AEC">
          <w:rPr>
            <w:rStyle w:val="Hyperlink"/>
            <w:rFonts w:eastAsia="Times New Roman" w:cs="Times New Roman"/>
          </w:rPr>
          <w:t>MC3E_Ram-Asc_83RHb</w:t>
        </w:r>
        <w:r w:rsidR="00280B51" w:rsidRPr="00ED6AEC">
          <w:rPr>
            <w:rStyle w:val="Hyperlink"/>
          </w:rPr>
          <w:t>) on 11 MAY 2010 during MC3E (Table 5). The flight path starts at the 0 °C isotherm encountered during the MC3E_Ram-Des_79RH descent and ends at the 0 °C isotherm encountered during the MC3E_Ram-Asc_83RHb ascent. The red arrowhead indicates the direction of the aircraft. The X Distance shown is latitudinal distance while the Y Distance is longitudinal distance.</w:t>
        </w:r>
        <w:r w:rsidR="00280B51">
          <w:rPr>
            <w:webHidden/>
          </w:rPr>
          <w:tab/>
        </w:r>
        <w:r w:rsidR="00280B51">
          <w:rPr>
            <w:webHidden/>
          </w:rPr>
          <w:fldChar w:fldCharType="begin"/>
        </w:r>
        <w:r w:rsidR="00280B51">
          <w:rPr>
            <w:webHidden/>
          </w:rPr>
          <w:instrText xml:space="preserve"> PAGEREF _Toc109123141 \h </w:instrText>
        </w:r>
        <w:r w:rsidR="00280B51">
          <w:rPr>
            <w:webHidden/>
          </w:rPr>
        </w:r>
        <w:r w:rsidR="00280B51">
          <w:rPr>
            <w:webHidden/>
          </w:rPr>
          <w:fldChar w:fldCharType="separate"/>
        </w:r>
        <w:r w:rsidR="00DB4BE3">
          <w:rPr>
            <w:webHidden/>
          </w:rPr>
          <w:t>53</w:t>
        </w:r>
        <w:r w:rsidR="00280B51">
          <w:rPr>
            <w:webHidden/>
          </w:rPr>
          <w:fldChar w:fldCharType="end"/>
        </w:r>
      </w:hyperlink>
    </w:p>
    <w:p w14:paraId="6622A7E6" w14:textId="41393FE8"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2" w:history="1">
        <w:r w:rsidR="00280B51" w:rsidRPr="00ED6AEC">
          <w:rPr>
            <w:rStyle w:val="Hyperlink"/>
          </w:rPr>
          <w:t>Figure 29: Plots similar to Figure 11, except for showing the melting layer for the MC3E_Ram-Des_79RH case (Table 5).</w:t>
        </w:r>
        <w:r w:rsidR="00280B51">
          <w:rPr>
            <w:webHidden/>
          </w:rPr>
          <w:tab/>
        </w:r>
        <w:r w:rsidR="00280B51">
          <w:rPr>
            <w:webHidden/>
          </w:rPr>
          <w:fldChar w:fldCharType="begin"/>
        </w:r>
        <w:r w:rsidR="00280B51">
          <w:rPr>
            <w:webHidden/>
          </w:rPr>
          <w:instrText xml:space="preserve"> PAGEREF _Toc109123142 \h </w:instrText>
        </w:r>
        <w:r w:rsidR="00280B51">
          <w:rPr>
            <w:webHidden/>
          </w:rPr>
        </w:r>
        <w:r w:rsidR="00280B51">
          <w:rPr>
            <w:webHidden/>
          </w:rPr>
          <w:fldChar w:fldCharType="separate"/>
        </w:r>
        <w:r w:rsidR="00DB4BE3">
          <w:rPr>
            <w:webHidden/>
          </w:rPr>
          <w:t>54</w:t>
        </w:r>
        <w:r w:rsidR="00280B51">
          <w:rPr>
            <w:webHidden/>
          </w:rPr>
          <w:fldChar w:fldCharType="end"/>
        </w:r>
      </w:hyperlink>
    </w:p>
    <w:p w14:paraId="5A90156B" w14:textId="04EB531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3" w:history="1">
        <w:r w:rsidR="00280B51" w:rsidRPr="00ED6AEC">
          <w:rPr>
            <w:rStyle w:val="Hyperlink"/>
          </w:rPr>
          <w:t>Figure 30: Plots similar to Figure 11, except for showing the melting layer for the MC3E_Ram-Asc_83RHb case (Table 5).</w:t>
        </w:r>
        <w:r w:rsidR="00280B51">
          <w:rPr>
            <w:webHidden/>
          </w:rPr>
          <w:tab/>
        </w:r>
        <w:r w:rsidR="00280B51">
          <w:rPr>
            <w:webHidden/>
          </w:rPr>
          <w:fldChar w:fldCharType="begin"/>
        </w:r>
        <w:r w:rsidR="00280B51">
          <w:rPr>
            <w:webHidden/>
          </w:rPr>
          <w:instrText xml:space="preserve"> PAGEREF _Toc109123143 \h </w:instrText>
        </w:r>
        <w:r w:rsidR="00280B51">
          <w:rPr>
            <w:webHidden/>
          </w:rPr>
        </w:r>
        <w:r w:rsidR="00280B51">
          <w:rPr>
            <w:webHidden/>
          </w:rPr>
          <w:fldChar w:fldCharType="separate"/>
        </w:r>
        <w:r w:rsidR="00DB4BE3">
          <w:rPr>
            <w:webHidden/>
          </w:rPr>
          <w:t>54</w:t>
        </w:r>
        <w:r w:rsidR="00280B51">
          <w:rPr>
            <w:webHidden/>
          </w:rPr>
          <w:fldChar w:fldCharType="end"/>
        </w:r>
      </w:hyperlink>
    </w:p>
    <w:p w14:paraId="6492A0A1" w14:textId="52E83CE4"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4" w:history="1">
        <w:r w:rsidR="00280B51" w:rsidRPr="00ED6AEC">
          <w:rPr>
            <w:rStyle w:val="Hyperlink"/>
          </w:rPr>
          <w:t>Figure 31: Plots similar to Figure 11, except for showing the melting layer for the MC3E_Spi-Des_75RH case (Table 5).</w:t>
        </w:r>
        <w:r w:rsidR="00280B51">
          <w:rPr>
            <w:webHidden/>
          </w:rPr>
          <w:tab/>
        </w:r>
        <w:r w:rsidR="00280B51">
          <w:rPr>
            <w:webHidden/>
          </w:rPr>
          <w:fldChar w:fldCharType="begin"/>
        </w:r>
        <w:r w:rsidR="00280B51">
          <w:rPr>
            <w:webHidden/>
          </w:rPr>
          <w:instrText xml:space="preserve"> PAGEREF _Toc109123144 \h </w:instrText>
        </w:r>
        <w:r w:rsidR="00280B51">
          <w:rPr>
            <w:webHidden/>
          </w:rPr>
        </w:r>
        <w:r w:rsidR="00280B51">
          <w:rPr>
            <w:webHidden/>
          </w:rPr>
          <w:fldChar w:fldCharType="separate"/>
        </w:r>
        <w:r w:rsidR="00DB4BE3">
          <w:rPr>
            <w:webHidden/>
          </w:rPr>
          <w:t>55</w:t>
        </w:r>
        <w:r w:rsidR="00280B51">
          <w:rPr>
            <w:webHidden/>
          </w:rPr>
          <w:fldChar w:fldCharType="end"/>
        </w:r>
      </w:hyperlink>
    </w:p>
    <w:p w14:paraId="68293CDE" w14:textId="45FD4739"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5" w:history="1">
        <w:r w:rsidR="00280B51" w:rsidRPr="00ED6AEC">
          <w:rPr>
            <w:rStyle w:val="Hyperlink"/>
          </w:rPr>
          <w:t>Figure 32: Plots similar to Figure 11, except for showing the melting layer for the GCPEX_Ram-Des_71RH case (Table 5).</w:t>
        </w:r>
        <w:r w:rsidR="00280B51">
          <w:rPr>
            <w:webHidden/>
          </w:rPr>
          <w:tab/>
        </w:r>
        <w:r w:rsidR="00280B51">
          <w:rPr>
            <w:webHidden/>
          </w:rPr>
          <w:fldChar w:fldCharType="begin"/>
        </w:r>
        <w:r w:rsidR="00280B51">
          <w:rPr>
            <w:webHidden/>
          </w:rPr>
          <w:instrText xml:space="preserve"> PAGEREF _Toc109123145 \h </w:instrText>
        </w:r>
        <w:r w:rsidR="00280B51">
          <w:rPr>
            <w:webHidden/>
          </w:rPr>
        </w:r>
        <w:r w:rsidR="00280B51">
          <w:rPr>
            <w:webHidden/>
          </w:rPr>
          <w:fldChar w:fldCharType="separate"/>
        </w:r>
        <w:r w:rsidR="00DB4BE3">
          <w:rPr>
            <w:webHidden/>
          </w:rPr>
          <w:t>56</w:t>
        </w:r>
        <w:r w:rsidR="00280B51">
          <w:rPr>
            <w:webHidden/>
          </w:rPr>
          <w:fldChar w:fldCharType="end"/>
        </w:r>
      </w:hyperlink>
    </w:p>
    <w:p w14:paraId="1110FE92" w14:textId="0BE6BE6D"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6" w:history="1">
        <w:r w:rsidR="00280B51" w:rsidRPr="00ED6AEC">
          <w:rPr>
            <w:rStyle w:val="Hyperlink"/>
          </w:rPr>
          <w:t>Figure 33: Plots similar to Figure 11, except for showing the melting layer for the MC3E</w:t>
        </w:r>
        <w:r w:rsidR="008E77D5">
          <w:rPr>
            <w:rStyle w:val="Hyperlink"/>
          </w:rPr>
          <w:t>_Spi-</w:t>
        </w:r>
        <w:r w:rsidR="00280B51" w:rsidRPr="00ED6AEC">
          <w:rPr>
            <w:rStyle w:val="Hyperlink"/>
          </w:rPr>
          <w:t>Des_63RH case (Table 5).</w:t>
        </w:r>
        <w:r w:rsidR="00280B51">
          <w:rPr>
            <w:webHidden/>
          </w:rPr>
          <w:tab/>
        </w:r>
        <w:r w:rsidR="00280B51">
          <w:rPr>
            <w:webHidden/>
          </w:rPr>
          <w:fldChar w:fldCharType="begin"/>
        </w:r>
        <w:r w:rsidR="00280B51">
          <w:rPr>
            <w:webHidden/>
          </w:rPr>
          <w:instrText xml:space="preserve"> PAGEREF _Toc109123146 \h </w:instrText>
        </w:r>
        <w:r w:rsidR="00280B51">
          <w:rPr>
            <w:webHidden/>
          </w:rPr>
        </w:r>
        <w:r w:rsidR="00280B51">
          <w:rPr>
            <w:webHidden/>
          </w:rPr>
          <w:fldChar w:fldCharType="separate"/>
        </w:r>
        <w:r w:rsidR="00DB4BE3">
          <w:rPr>
            <w:webHidden/>
          </w:rPr>
          <w:t>57</w:t>
        </w:r>
        <w:r w:rsidR="00280B51">
          <w:rPr>
            <w:webHidden/>
          </w:rPr>
          <w:fldChar w:fldCharType="end"/>
        </w:r>
      </w:hyperlink>
    </w:p>
    <w:p w14:paraId="5402EC6C" w14:textId="3B31BD3E"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7" w:history="1">
        <w:r w:rsidR="00280B51" w:rsidRPr="00ED6AEC">
          <w:rPr>
            <w:rStyle w:val="Hyperlink"/>
          </w:rPr>
          <w:t>Figure 34: Plots similar to Figure 12, except for showing the melting layer for the MC3E</w:t>
        </w:r>
        <w:r w:rsidR="008E77D5">
          <w:rPr>
            <w:rStyle w:val="Hyperlink"/>
          </w:rPr>
          <w:t>_Spi-</w:t>
        </w:r>
        <w:r w:rsidR="00280B51" w:rsidRPr="00ED6AEC">
          <w:rPr>
            <w:rStyle w:val="Hyperlink"/>
          </w:rPr>
          <w:t>Des_63RH case (Table 5).</w:t>
        </w:r>
        <w:r w:rsidR="00280B51">
          <w:rPr>
            <w:webHidden/>
          </w:rPr>
          <w:tab/>
        </w:r>
        <w:r w:rsidR="00280B51">
          <w:rPr>
            <w:webHidden/>
          </w:rPr>
          <w:fldChar w:fldCharType="begin"/>
        </w:r>
        <w:r w:rsidR="00280B51">
          <w:rPr>
            <w:webHidden/>
          </w:rPr>
          <w:instrText xml:space="preserve"> PAGEREF _Toc109123147 \h </w:instrText>
        </w:r>
        <w:r w:rsidR="00280B51">
          <w:rPr>
            <w:webHidden/>
          </w:rPr>
        </w:r>
        <w:r w:rsidR="00280B51">
          <w:rPr>
            <w:webHidden/>
          </w:rPr>
          <w:fldChar w:fldCharType="separate"/>
        </w:r>
        <w:r w:rsidR="00DB4BE3">
          <w:rPr>
            <w:webHidden/>
          </w:rPr>
          <w:t>58</w:t>
        </w:r>
        <w:r w:rsidR="00280B51">
          <w:rPr>
            <w:webHidden/>
          </w:rPr>
          <w:fldChar w:fldCharType="end"/>
        </w:r>
      </w:hyperlink>
    </w:p>
    <w:p w14:paraId="6FE17A74" w14:textId="0F34CCB8" w:rsidR="00E11436" w:rsidRPr="00CF0DF4" w:rsidRDefault="00E11436" w:rsidP="00216324">
      <w:pPr>
        <w:pStyle w:val="TableofFigures"/>
        <w:rPr>
          <w:b/>
        </w:rPr>
      </w:pPr>
      <w:r w:rsidRPr="00CF0DF4">
        <w:fldChar w:fldCharType="end"/>
      </w:r>
      <w:r w:rsidRPr="00CF0DF4">
        <w:br w:type="page"/>
      </w:r>
    </w:p>
    <w:p w14:paraId="3823B7B7" w14:textId="77777777" w:rsidR="00E11436" w:rsidRPr="00CF0DF4" w:rsidRDefault="00E11436" w:rsidP="00BA53A2">
      <w:pPr>
        <w:pStyle w:val="Heading1"/>
        <w:rPr>
          <w:lang w:val="en-US"/>
        </w:rPr>
      </w:pPr>
      <w:bookmarkStart w:id="4" w:name="_Toc109123090"/>
      <w:r w:rsidRPr="00CF0DF4">
        <w:rPr>
          <w:lang w:val="en-US"/>
        </w:rPr>
        <w:lastRenderedPageBreak/>
        <w:t>LIST OF TABLES</w:t>
      </w:r>
      <w:bookmarkEnd w:id="4"/>
    </w:p>
    <w:p w14:paraId="7EDE5D2C" w14:textId="71D7B1A9" w:rsidR="00280B51" w:rsidRDefault="00E11436">
      <w:pPr>
        <w:pStyle w:val="TableofFigures"/>
        <w:rPr>
          <w:rFonts w:asciiTheme="minorHAnsi" w:eastAsiaTheme="minorEastAsia" w:hAnsiTheme="minorHAnsi" w:cstheme="minorBidi"/>
          <w:kern w:val="0"/>
          <w:sz w:val="22"/>
          <w:szCs w:val="22"/>
          <w:lang w:val="en-US" w:eastAsia="en-US" w:bidi="ar-SA"/>
        </w:rPr>
      </w:pPr>
      <w:r w:rsidRPr="00CF0DF4">
        <w:fldChar w:fldCharType="begin"/>
      </w:r>
      <w:r w:rsidRPr="00CF0DF4">
        <w:instrText xml:space="preserve"> TOC \h \z \c "Table" </w:instrText>
      </w:r>
      <w:r w:rsidRPr="00CF0DF4">
        <w:fldChar w:fldCharType="separate"/>
      </w:r>
      <w:hyperlink w:anchor="_Toc109123148" w:history="1">
        <w:r w:rsidR="00280B51" w:rsidRPr="00240E46">
          <w:rPr>
            <w:rStyle w:val="Hyperlink"/>
            <w:lang w:val="en-US"/>
          </w:rPr>
          <w:t>Table 1: Table summarizing fields projects where cloud sampling was conducted using cloud physics probes.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 The P3_N426NA is the NASA P-3 Orion Research Aircraft and the CitationII_N555DS is the University of North Dakota Citation II Research Aircraft. Small imaging probes (“cloud”) detect small hydrometeors with a relatively high resolution and large imaging probes (“precipitation”) have a larger sample volume but lower resolution. Probes include the Two-Dimensional Optical Array Cloud (2D-C) Probe; Two-Dimensional Stereo (2D-S) Probe; High Volume Precipitation Spectrometer Version 3 (HVPS3). The (2) HVPS3 indicates two HVPS3 probes were mounted on the aircraft for horizontal and vertical positioning.</w:t>
        </w:r>
        <w:r w:rsidR="00280B51">
          <w:rPr>
            <w:webHidden/>
          </w:rPr>
          <w:tab/>
        </w:r>
        <w:r w:rsidR="00280B51">
          <w:rPr>
            <w:webHidden/>
          </w:rPr>
          <w:fldChar w:fldCharType="begin"/>
        </w:r>
        <w:r w:rsidR="00280B51">
          <w:rPr>
            <w:webHidden/>
          </w:rPr>
          <w:instrText xml:space="preserve"> PAGEREF _Toc109123148 \h </w:instrText>
        </w:r>
        <w:r w:rsidR="00280B51">
          <w:rPr>
            <w:webHidden/>
          </w:rPr>
        </w:r>
        <w:r w:rsidR="00280B51">
          <w:rPr>
            <w:webHidden/>
          </w:rPr>
          <w:fldChar w:fldCharType="separate"/>
        </w:r>
        <w:r w:rsidR="00DB4BE3">
          <w:rPr>
            <w:webHidden/>
          </w:rPr>
          <w:t>13</w:t>
        </w:r>
        <w:r w:rsidR="00280B51">
          <w:rPr>
            <w:webHidden/>
          </w:rPr>
          <w:fldChar w:fldCharType="end"/>
        </w:r>
      </w:hyperlink>
    </w:p>
    <w:p w14:paraId="33A9653C" w14:textId="559CF405"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49" w:history="1">
        <w:r w:rsidR="00280B51" w:rsidRPr="00240E46">
          <w:rPr>
            <w:rStyle w:val="Hyperlink"/>
            <w:lang w:val="en-US"/>
          </w:rPr>
          <w:t>Table 2: Table showing the size range of the bins from the System for Optical Array Probe (OAP) Data Analysis (SODA2) processing of the Two-Dimensional Stereo (2D-S) probe images and the High Volume Precipitation Spectrometer Version 3 (HVPS3) probe images.</w:t>
        </w:r>
        <w:r w:rsidR="00280B51">
          <w:rPr>
            <w:webHidden/>
          </w:rPr>
          <w:tab/>
        </w:r>
        <w:r w:rsidR="00280B51">
          <w:rPr>
            <w:webHidden/>
          </w:rPr>
          <w:fldChar w:fldCharType="begin"/>
        </w:r>
        <w:r w:rsidR="00280B51">
          <w:rPr>
            <w:webHidden/>
          </w:rPr>
          <w:instrText xml:space="preserve"> PAGEREF _Toc109123149 \h </w:instrText>
        </w:r>
        <w:r w:rsidR="00280B51">
          <w:rPr>
            <w:webHidden/>
          </w:rPr>
        </w:r>
        <w:r w:rsidR="00280B51">
          <w:rPr>
            <w:webHidden/>
          </w:rPr>
          <w:fldChar w:fldCharType="separate"/>
        </w:r>
        <w:r w:rsidR="00DB4BE3">
          <w:rPr>
            <w:webHidden/>
          </w:rPr>
          <w:t>15</w:t>
        </w:r>
        <w:r w:rsidR="00280B51">
          <w:rPr>
            <w:webHidden/>
          </w:rPr>
          <w:fldChar w:fldCharType="end"/>
        </w:r>
      </w:hyperlink>
    </w:p>
    <w:p w14:paraId="049D7934" w14:textId="1A3D0FE9"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0" w:history="1">
        <w:r w:rsidR="00280B51" w:rsidRPr="00240E46">
          <w:rPr>
            <w:rStyle w:val="Hyperlink"/>
            <w:lang w:val="en-US"/>
          </w:rPr>
          <w:t xml:space="preserve">Table 3: Table showing the area ratio calculation for a 600 µm diameter hydrometeor imaged by the Two-Dimensional Stereo (2D-S) Probe (thin grid) and the High Volume Precipitation Spectrometer Version 3 (HVPS3) and depicted in </w:t>
        </w:r>
        <w:r w:rsidR="00280B51" w:rsidRPr="00240E46">
          <w:rPr>
            <w:rStyle w:val="Hyperlink"/>
          </w:rPr>
          <w:t>Figure 2</w:t>
        </w:r>
        <w:r w:rsidR="00280B51" w:rsidRPr="00240E46">
          <w:rPr>
            <w:rStyle w:val="Hyperlink"/>
            <w:lang w:val="en-US"/>
          </w:rPr>
          <w:t>.</w:t>
        </w:r>
        <w:r w:rsidR="00280B51">
          <w:rPr>
            <w:webHidden/>
          </w:rPr>
          <w:tab/>
        </w:r>
        <w:r w:rsidR="00280B51">
          <w:rPr>
            <w:webHidden/>
          </w:rPr>
          <w:fldChar w:fldCharType="begin"/>
        </w:r>
        <w:r w:rsidR="00280B51">
          <w:rPr>
            <w:webHidden/>
          </w:rPr>
          <w:instrText xml:space="preserve"> PAGEREF _Toc109123150 \h </w:instrText>
        </w:r>
        <w:r w:rsidR="00280B51">
          <w:rPr>
            <w:webHidden/>
          </w:rPr>
        </w:r>
        <w:r w:rsidR="00280B51">
          <w:rPr>
            <w:webHidden/>
          </w:rPr>
          <w:fldChar w:fldCharType="separate"/>
        </w:r>
        <w:r w:rsidR="00DB4BE3">
          <w:rPr>
            <w:webHidden/>
          </w:rPr>
          <w:t>18</w:t>
        </w:r>
        <w:r w:rsidR="00280B51">
          <w:rPr>
            <w:webHidden/>
          </w:rPr>
          <w:fldChar w:fldCharType="end"/>
        </w:r>
      </w:hyperlink>
    </w:p>
    <w:p w14:paraId="283F8188" w14:textId="6D1D60B1"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1" w:history="1">
        <w:r w:rsidR="00280B51" w:rsidRPr="00240E46">
          <w:rPr>
            <w:rStyle w:val="Hyperlink"/>
            <w:lang w:val="en-US"/>
          </w:rPr>
          <w:t>Table 4: Matrix showing the number of melting layer profiles by type of aircraft flight provide and average relative humidity (RH) environment throughout the melting layer. Low RH is 90 percent and less, high RH is greater than 90 percent, and saturated is 100 percent throughout the entire melting layer depth.</w:t>
        </w:r>
        <w:r w:rsidR="00280B51">
          <w:rPr>
            <w:webHidden/>
          </w:rPr>
          <w:tab/>
        </w:r>
        <w:r w:rsidR="00280B51">
          <w:rPr>
            <w:webHidden/>
          </w:rPr>
          <w:fldChar w:fldCharType="begin"/>
        </w:r>
        <w:r w:rsidR="00280B51">
          <w:rPr>
            <w:webHidden/>
          </w:rPr>
          <w:instrText xml:space="preserve"> PAGEREF _Toc109123151 \h </w:instrText>
        </w:r>
        <w:r w:rsidR="00280B51">
          <w:rPr>
            <w:webHidden/>
          </w:rPr>
        </w:r>
        <w:r w:rsidR="00280B51">
          <w:rPr>
            <w:webHidden/>
          </w:rPr>
          <w:fldChar w:fldCharType="separate"/>
        </w:r>
        <w:r w:rsidR="00DB4BE3">
          <w:rPr>
            <w:webHidden/>
          </w:rPr>
          <w:t>32</w:t>
        </w:r>
        <w:r w:rsidR="00280B51">
          <w:rPr>
            <w:webHidden/>
          </w:rPr>
          <w:fldChar w:fldCharType="end"/>
        </w:r>
      </w:hyperlink>
    </w:p>
    <w:p w14:paraId="2758F661" w14:textId="4D46FEA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2" w:history="1">
        <w:r w:rsidR="00280B51" w:rsidRPr="00240E46">
          <w:rPr>
            <w:rStyle w:val="Hyperlink"/>
            <w:lang w:val="en-US"/>
          </w:rPr>
          <w:t>Table 5: Table showing a summary of the melting layer aircraft observations where the case name is based on the field campaign, profile type, and relative humidity (RH). Cases are listed in descending relative humidity order with row shading for three relative humidity ranges: saturated, greater than 90 percent, and 90 percent or less.</w:t>
        </w:r>
        <w:r w:rsidR="00280B51">
          <w:rPr>
            <w:webHidden/>
          </w:rPr>
          <w:tab/>
        </w:r>
        <w:r w:rsidR="00280B51">
          <w:rPr>
            <w:webHidden/>
          </w:rPr>
          <w:fldChar w:fldCharType="begin"/>
        </w:r>
        <w:r w:rsidR="00280B51">
          <w:rPr>
            <w:webHidden/>
          </w:rPr>
          <w:instrText xml:space="preserve"> PAGEREF _Toc109123152 \h </w:instrText>
        </w:r>
        <w:r w:rsidR="00280B51">
          <w:rPr>
            <w:webHidden/>
          </w:rPr>
        </w:r>
        <w:r w:rsidR="00280B51">
          <w:rPr>
            <w:webHidden/>
          </w:rPr>
          <w:fldChar w:fldCharType="separate"/>
        </w:r>
        <w:r w:rsidR="00DB4BE3">
          <w:rPr>
            <w:webHidden/>
          </w:rPr>
          <w:t>33</w:t>
        </w:r>
        <w:r w:rsidR="00280B51">
          <w:rPr>
            <w:webHidden/>
          </w:rPr>
          <w:fldChar w:fldCharType="end"/>
        </w:r>
      </w:hyperlink>
    </w:p>
    <w:p w14:paraId="1AF0B504" w14:textId="2C2D2004"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3" w:history="1">
        <w:r w:rsidR="00280B51" w:rsidRPr="00240E46">
          <w:rPr>
            <w:rStyle w:val="Hyperlink"/>
            <w:lang w:val="en-US"/>
          </w:rPr>
          <w:t>Table 6: Table summarizing the cloud types and locations of recent NASA field projects analyzed for hydrometeor changes within the melting layer.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w:t>
        </w:r>
        <w:r w:rsidR="00280B51">
          <w:rPr>
            <w:webHidden/>
          </w:rPr>
          <w:tab/>
        </w:r>
        <w:r w:rsidR="00280B51">
          <w:rPr>
            <w:webHidden/>
          </w:rPr>
          <w:fldChar w:fldCharType="begin"/>
        </w:r>
        <w:r w:rsidR="00280B51">
          <w:rPr>
            <w:webHidden/>
          </w:rPr>
          <w:instrText xml:space="preserve"> PAGEREF _Toc109123153 \h </w:instrText>
        </w:r>
        <w:r w:rsidR="00280B51">
          <w:rPr>
            <w:webHidden/>
          </w:rPr>
        </w:r>
        <w:r w:rsidR="00280B51">
          <w:rPr>
            <w:webHidden/>
          </w:rPr>
          <w:fldChar w:fldCharType="separate"/>
        </w:r>
        <w:r w:rsidR="00DB4BE3">
          <w:rPr>
            <w:webHidden/>
          </w:rPr>
          <w:t>59</w:t>
        </w:r>
        <w:r w:rsidR="00280B51">
          <w:rPr>
            <w:webHidden/>
          </w:rPr>
          <w:fldChar w:fldCharType="end"/>
        </w:r>
      </w:hyperlink>
    </w:p>
    <w:p w14:paraId="1F5D22C3" w14:textId="4D0FA1F2"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4" w:history="1">
        <w:r w:rsidR="00280B51" w:rsidRPr="00240E46">
          <w:rPr>
            <w:rStyle w:val="Hyperlink"/>
            <w:lang w:val="en-US"/>
          </w:rPr>
          <w:t xml:space="preserve">Table 7: Table summarizing the changes in hydrometeor concentration (conc), area ratio, maximum diameter (max D), and the </w:t>
        </w:r>
        <w:r w:rsidR="00280B51" w:rsidRPr="00240E46">
          <w:rPr>
            <w:rStyle w:val="Hyperlink"/>
            <w:rFonts w:ascii="Times New Roman" w:hAnsi="Times New Roman" w:cs="Times New Roman"/>
            <w:lang w:val="en-US"/>
          </w:rPr>
          <w:t>slope (</w:t>
        </w:r>
        <w:r w:rsidR="00280B51" w:rsidRPr="00240E46">
          <w:rPr>
            <w:rStyle w:val="Hyperlink"/>
            <w:rFonts w:ascii="Times New Roman" w:eastAsia="Times New Roman" w:hAnsi="Times New Roman" w:cs="Times New Roman"/>
            <w:lang w:val="en-US" w:eastAsia="en-US"/>
          </w:rPr>
          <w:t>λ)</w:t>
        </w:r>
        <w:r w:rsidR="00280B51" w:rsidRPr="00240E46">
          <w:rPr>
            <w:rStyle w:val="Hyperlink"/>
            <w:rFonts w:ascii="Times New Roman" w:hAnsi="Times New Roman" w:cs="Times New Roman"/>
            <w:lang w:val="en-US"/>
          </w:rPr>
          <w:t xml:space="preserve"> and intercept parameter (N</w:t>
        </w:r>
        <w:r w:rsidR="00280B51" w:rsidRPr="00240E46">
          <w:rPr>
            <w:rStyle w:val="Hyperlink"/>
            <w:rFonts w:ascii="Times New Roman" w:hAnsi="Times New Roman" w:cs="Times New Roman"/>
            <w:vertAlign w:val="subscript"/>
            <w:lang w:val="en-US"/>
          </w:rPr>
          <w:t>0</w:t>
        </w:r>
        <w:r w:rsidR="00280B51" w:rsidRPr="00240E46">
          <w:rPr>
            <w:rStyle w:val="Hyperlink"/>
            <w:rFonts w:ascii="Times New Roman" w:hAnsi="Times New Roman" w:cs="Times New Roman"/>
            <w:lang w:val="en-US"/>
          </w:rPr>
          <w:t>) from the exponential fit to the size distribution throughout the melting layer. Small hydrometeors are 1,000 µm and less, whereas large hydrometeors have a greater diameter. The first (blue) indicators are for the transition from above to inside the melting layer. The second (red) indicators are for the transition from</w:t>
        </w:r>
        <w:r w:rsidR="00280B51" w:rsidRPr="00240E46">
          <w:rPr>
            <w:rStyle w:val="Hyperlink"/>
            <w:lang w:val="en-US"/>
          </w:rPr>
          <w:t xml:space="preserve"> the melting layer to below. An up arrow is an increase, a down arrow is a decrease, an equal sign is no change, and a dash is no measurements. Having the first and second indicators the same denotes no change throughout the entire melting layer depth (i.e., no steady state is reached and no transition occurs). Case groups are alternatively shaded based on the relative humidity range.</w:t>
        </w:r>
        <w:r w:rsidR="00280B51">
          <w:rPr>
            <w:webHidden/>
          </w:rPr>
          <w:tab/>
        </w:r>
        <w:r w:rsidR="00280B51">
          <w:rPr>
            <w:webHidden/>
          </w:rPr>
          <w:fldChar w:fldCharType="begin"/>
        </w:r>
        <w:r w:rsidR="00280B51">
          <w:rPr>
            <w:webHidden/>
          </w:rPr>
          <w:instrText xml:space="preserve"> PAGEREF _Toc109123154 \h </w:instrText>
        </w:r>
        <w:r w:rsidR="00280B51">
          <w:rPr>
            <w:webHidden/>
          </w:rPr>
        </w:r>
        <w:r w:rsidR="00280B51">
          <w:rPr>
            <w:webHidden/>
          </w:rPr>
          <w:fldChar w:fldCharType="separate"/>
        </w:r>
        <w:r w:rsidR="00DB4BE3">
          <w:rPr>
            <w:webHidden/>
          </w:rPr>
          <w:t>60</w:t>
        </w:r>
        <w:r w:rsidR="00280B51">
          <w:rPr>
            <w:webHidden/>
          </w:rPr>
          <w:fldChar w:fldCharType="end"/>
        </w:r>
      </w:hyperlink>
    </w:p>
    <w:p w14:paraId="023485CD" w14:textId="530B512E" w:rsidR="00E11436" w:rsidRPr="00CF0DF4" w:rsidRDefault="00E11436" w:rsidP="00216324">
      <w:pPr>
        <w:pStyle w:val="Heading1"/>
        <w:jc w:val="left"/>
        <w:rPr>
          <w:lang w:val="en-US"/>
        </w:rPr>
      </w:pPr>
      <w:r w:rsidRPr="00CF0DF4">
        <w:rPr>
          <w:rFonts w:eastAsia="Liberation Serif" w:cs="Liberation Serif"/>
        </w:rPr>
        <w:lastRenderedPageBreak/>
        <w:fldChar w:fldCharType="end"/>
      </w:r>
    </w:p>
    <w:p w14:paraId="53BDCA71" w14:textId="62169AB5" w:rsidR="00280B51" w:rsidRDefault="00E11436">
      <w:pPr>
        <w:pStyle w:val="TableofFigures"/>
        <w:rPr>
          <w:rFonts w:asciiTheme="minorHAnsi" w:eastAsiaTheme="minorEastAsia" w:hAnsiTheme="minorHAnsi" w:cstheme="minorBidi"/>
          <w:kern w:val="0"/>
          <w:sz w:val="22"/>
          <w:szCs w:val="22"/>
          <w:lang w:val="en-US" w:eastAsia="en-US" w:bidi="ar-SA"/>
        </w:rPr>
      </w:pPr>
      <w:r w:rsidRPr="00CF0DF4">
        <w:fldChar w:fldCharType="begin"/>
      </w:r>
      <w:r w:rsidRPr="00CF0DF4">
        <w:instrText xml:space="preserve"> TOC \h \z \c "Table" </w:instrText>
      </w:r>
      <w:r w:rsidRPr="00CF0DF4">
        <w:fldChar w:fldCharType="separate"/>
      </w:r>
      <w:hyperlink w:anchor="_Toc109123155" w:history="1">
        <w:r w:rsidR="00280B51" w:rsidRPr="003830FB">
          <w:rPr>
            <w:rStyle w:val="Hyperlink"/>
            <w:lang w:val="en-US"/>
          </w:rPr>
          <w:t>Table 1: Table summarizing fields projects where cloud sampling was conducted using cloud physics probes.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 The P3_N426NA is the NASA P-3 Orion Research Aircraft and the CitationII_N555DS is the University of North Dakota Citation II Research Aircraft. Small imaging probes (“cloud”) detect small hydrometeors with a relatively high resolution and large imaging probes (“precipitation”) have a larger sample volume but lower resolution. Probes include the Two-Dimensional Optical Array Cloud (2D-C) Probe; Two-Dimensional Stereo (2D-S) Probe; High Volume Precipitation Spectrometer Version 3 (HVPS3). The (2) HVPS3 indicates two HVPS3 probes were mounted on the aircraft for horizontal and vertical positioning.</w:t>
        </w:r>
        <w:r w:rsidR="00280B51">
          <w:rPr>
            <w:webHidden/>
          </w:rPr>
          <w:tab/>
        </w:r>
        <w:r w:rsidR="00280B51">
          <w:rPr>
            <w:webHidden/>
          </w:rPr>
          <w:fldChar w:fldCharType="begin"/>
        </w:r>
        <w:r w:rsidR="00280B51">
          <w:rPr>
            <w:webHidden/>
          </w:rPr>
          <w:instrText xml:space="preserve"> PAGEREF _Toc109123155 \h </w:instrText>
        </w:r>
        <w:r w:rsidR="00280B51">
          <w:rPr>
            <w:webHidden/>
          </w:rPr>
        </w:r>
        <w:r w:rsidR="00280B51">
          <w:rPr>
            <w:webHidden/>
          </w:rPr>
          <w:fldChar w:fldCharType="separate"/>
        </w:r>
        <w:r w:rsidR="00DB4BE3">
          <w:rPr>
            <w:webHidden/>
          </w:rPr>
          <w:t>13</w:t>
        </w:r>
        <w:r w:rsidR="00280B51">
          <w:rPr>
            <w:webHidden/>
          </w:rPr>
          <w:fldChar w:fldCharType="end"/>
        </w:r>
      </w:hyperlink>
    </w:p>
    <w:p w14:paraId="330C2E7D" w14:textId="0171B37F"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6" w:history="1">
        <w:r w:rsidR="00280B51" w:rsidRPr="003830FB">
          <w:rPr>
            <w:rStyle w:val="Hyperlink"/>
            <w:lang w:val="en-US"/>
          </w:rPr>
          <w:t>Table 2: Table showing the size range of the bins from the System for Optical Array Probe (OAP) Data Analysis (SODA2) processing of the Two-Dimensional Stereo (2D-S) probe images and the High Volume Precipitation Spectrometer Version 3 (HVPS3) probe images.</w:t>
        </w:r>
        <w:r w:rsidR="00280B51">
          <w:rPr>
            <w:webHidden/>
          </w:rPr>
          <w:tab/>
        </w:r>
        <w:r w:rsidR="00280B51">
          <w:rPr>
            <w:webHidden/>
          </w:rPr>
          <w:fldChar w:fldCharType="begin"/>
        </w:r>
        <w:r w:rsidR="00280B51">
          <w:rPr>
            <w:webHidden/>
          </w:rPr>
          <w:instrText xml:space="preserve"> PAGEREF _Toc109123156 \h </w:instrText>
        </w:r>
        <w:r w:rsidR="00280B51">
          <w:rPr>
            <w:webHidden/>
          </w:rPr>
        </w:r>
        <w:r w:rsidR="00280B51">
          <w:rPr>
            <w:webHidden/>
          </w:rPr>
          <w:fldChar w:fldCharType="separate"/>
        </w:r>
        <w:r w:rsidR="00DB4BE3">
          <w:rPr>
            <w:webHidden/>
          </w:rPr>
          <w:t>15</w:t>
        </w:r>
        <w:r w:rsidR="00280B51">
          <w:rPr>
            <w:webHidden/>
          </w:rPr>
          <w:fldChar w:fldCharType="end"/>
        </w:r>
      </w:hyperlink>
    </w:p>
    <w:p w14:paraId="7560384A" w14:textId="4DC83C77"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7" w:history="1">
        <w:r w:rsidR="00280B51" w:rsidRPr="003830FB">
          <w:rPr>
            <w:rStyle w:val="Hyperlink"/>
            <w:lang w:val="en-US"/>
          </w:rPr>
          <w:t xml:space="preserve">Table 3: Table showing the area ratio calculation for a 600 µm diameter hydrometeor imaged by the Two-Dimensional Stereo (2D-S) Probe (thin grid) and the High Volume Precipitation Spectrometer Version 3 (HVPS3) and depicted in </w:t>
        </w:r>
        <w:r w:rsidR="00280B51" w:rsidRPr="003830FB">
          <w:rPr>
            <w:rStyle w:val="Hyperlink"/>
          </w:rPr>
          <w:t>Figure 2</w:t>
        </w:r>
        <w:r w:rsidR="00280B51" w:rsidRPr="003830FB">
          <w:rPr>
            <w:rStyle w:val="Hyperlink"/>
            <w:lang w:val="en-US"/>
          </w:rPr>
          <w:t>.</w:t>
        </w:r>
        <w:r w:rsidR="00280B51">
          <w:rPr>
            <w:webHidden/>
          </w:rPr>
          <w:tab/>
        </w:r>
        <w:r w:rsidR="00280B51">
          <w:rPr>
            <w:webHidden/>
          </w:rPr>
          <w:fldChar w:fldCharType="begin"/>
        </w:r>
        <w:r w:rsidR="00280B51">
          <w:rPr>
            <w:webHidden/>
          </w:rPr>
          <w:instrText xml:space="preserve"> PAGEREF _Toc109123157 \h </w:instrText>
        </w:r>
        <w:r w:rsidR="00280B51">
          <w:rPr>
            <w:webHidden/>
          </w:rPr>
        </w:r>
        <w:r w:rsidR="00280B51">
          <w:rPr>
            <w:webHidden/>
          </w:rPr>
          <w:fldChar w:fldCharType="separate"/>
        </w:r>
        <w:r w:rsidR="00DB4BE3">
          <w:rPr>
            <w:webHidden/>
          </w:rPr>
          <w:t>18</w:t>
        </w:r>
        <w:r w:rsidR="00280B51">
          <w:rPr>
            <w:webHidden/>
          </w:rPr>
          <w:fldChar w:fldCharType="end"/>
        </w:r>
      </w:hyperlink>
    </w:p>
    <w:p w14:paraId="075C68A5" w14:textId="2C9CB8BA"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8" w:history="1">
        <w:r w:rsidR="00280B51" w:rsidRPr="003830FB">
          <w:rPr>
            <w:rStyle w:val="Hyperlink"/>
            <w:lang w:val="en-US"/>
          </w:rPr>
          <w:t>Table 4: Matrix showing the number of melting layer profiles by type of aircraft flight provide and average relative humidity (RH) environment throughout the melting layer. Low RH is 90 percent and less, high RH is greater than 90 percent, and saturated is 100 percent throughout the entire melting layer depth.</w:t>
        </w:r>
        <w:r w:rsidR="00280B51">
          <w:rPr>
            <w:webHidden/>
          </w:rPr>
          <w:tab/>
        </w:r>
        <w:r w:rsidR="00280B51">
          <w:rPr>
            <w:webHidden/>
          </w:rPr>
          <w:fldChar w:fldCharType="begin"/>
        </w:r>
        <w:r w:rsidR="00280B51">
          <w:rPr>
            <w:webHidden/>
          </w:rPr>
          <w:instrText xml:space="preserve"> PAGEREF _Toc109123158 \h </w:instrText>
        </w:r>
        <w:r w:rsidR="00280B51">
          <w:rPr>
            <w:webHidden/>
          </w:rPr>
        </w:r>
        <w:r w:rsidR="00280B51">
          <w:rPr>
            <w:webHidden/>
          </w:rPr>
          <w:fldChar w:fldCharType="separate"/>
        </w:r>
        <w:r w:rsidR="00DB4BE3">
          <w:rPr>
            <w:webHidden/>
          </w:rPr>
          <w:t>32</w:t>
        </w:r>
        <w:r w:rsidR="00280B51">
          <w:rPr>
            <w:webHidden/>
          </w:rPr>
          <w:fldChar w:fldCharType="end"/>
        </w:r>
      </w:hyperlink>
    </w:p>
    <w:p w14:paraId="7F273BDC" w14:textId="056DAFE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59" w:history="1">
        <w:r w:rsidR="00280B51" w:rsidRPr="003830FB">
          <w:rPr>
            <w:rStyle w:val="Hyperlink"/>
            <w:lang w:val="en-US"/>
          </w:rPr>
          <w:t>Table 5: Table showing a summary of the melting layer aircraft observations where the case name is based on the field campaign, profile type, and relative humidity (RH). Cases are listed in descending relative humidity order with row shading for three relative humidity ranges: saturated, greater than 90 percent, and 90 percent or less.</w:t>
        </w:r>
        <w:r w:rsidR="00280B51">
          <w:rPr>
            <w:webHidden/>
          </w:rPr>
          <w:tab/>
        </w:r>
        <w:r w:rsidR="00280B51">
          <w:rPr>
            <w:webHidden/>
          </w:rPr>
          <w:fldChar w:fldCharType="begin"/>
        </w:r>
        <w:r w:rsidR="00280B51">
          <w:rPr>
            <w:webHidden/>
          </w:rPr>
          <w:instrText xml:space="preserve"> PAGEREF _Toc109123159 \h </w:instrText>
        </w:r>
        <w:r w:rsidR="00280B51">
          <w:rPr>
            <w:webHidden/>
          </w:rPr>
        </w:r>
        <w:r w:rsidR="00280B51">
          <w:rPr>
            <w:webHidden/>
          </w:rPr>
          <w:fldChar w:fldCharType="separate"/>
        </w:r>
        <w:r w:rsidR="00DB4BE3">
          <w:rPr>
            <w:webHidden/>
          </w:rPr>
          <w:t>33</w:t>
        </w:r>
        <w:r w:rsidR="00280B51">
          <w:rPr>
            <w:webHidden/>
          </w:rPr>
          <w:fldChar w:fldCharType="end"/>
        </w:r>
      </w:hyperlink>
    </w:p>
    <w:p w14:paraId="1F30506C" w14:textId="4CC10999"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60" w:history="1">
        <w:r w:rsidR="00280B51" w:rsidRPr="003830FB">
          <w:rPr>
            <w:rStyle w:val="Hyperlink"/>
            <w:lang w:val="en-US"/>
          </w:rPr>
          <w:t>Table 6: Table summarizing the cloud types and locations of recent NASA field projects analyzed for hydrometeor changes within the melting layer.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w:t>
        </w:r>
        <w:r w:rsidR="00280B51">
          <w:rPr>
            <w:webHidden/>
          </w:rPr>
          <w:tab/>
        </w:r>
        <w:r w:rsidR="00280B51">
          <w:rPr>
            <w:webHidden/>
          </w:rPr>
          <w:fldChar w:fldCharType="begin"/>
        </w:r>
        <w:r w:rsidR="00280B51">
          <w:rPr>
            <w:webHidden/>
          </w:rPr>
          <w:instrText xml:space="preserve"> PAGEREF _Toc109123160 \h </w:instrText>
        </w:r>
        <w:r w:rsidR="00280B51">
          <w:rPr>
            <w:webHidden/>
          </w:rPr>
        </w:r>
        <w:r w:rsidR="00280B51">
          <w:rPr>
            <w:webHidden/>
          </w:rPr>
          <w:fldChar w:fldCharType="separate"/>
        </w:r>
        <w:r w:rsidR="00DB4BE3">
          <w:rPr>
            <w:webHidden/>
          </w:rPr>
          <w:t>59</w:t>
        </w:r>
        <w:r w:rsidR="00280B51">
          <w:rPr>
            <w:webHidden/>
          </w:rPr>
          <w:fldChar w:fldCharType="end"/>
        </w:r>
      </w:hyperlink>
    </w:p>
    <w:p w14:paraId="1B8A0F7C" w14:textId="48481576" w:rsidR="00280B51" w:rsidRDefault="00000000">
      <w:pPr>
        <w:pStyle w:val="TableofFigures"/>
        <w:rPr>
          <w:rFonts w:asciiTheme="minorHAnsi" w:eastAsiaTheme="minorEastAsia" w:hAnsiTheme="minorHAnsi" w:cstheme="minorBidi"/>
          <w:kern w:val="0"/>
          <w:sz w:val="22"/>
          <w:szCs w:val="22"/>
          <w:lang w:val="en-US" w:eastAsia="en-US" w:bidi="ar-SA"/>
        </w:rPr>
      </w:pPr>
      <w:hyperlink w:anchor="_Toc109123161" w:history="1">
        <w:r w:rsidR="00280B51" w:rsidRPr="003830FB">
          <w:rPr>
            <w:rStyle w:val="Hyperlink"/>
            <w:lang w:val="en-US"/>
          </w:rPr>
          <w:t xml:space="preserve">Table 7: Table summarizing the changes in hydrometeor concentration (conc), area ratio, maximum diameter (max D), and the </w:t>
        </w:r>
        <w:r w:rsidR="00280B51" w:rsidRPr="003830FB">
          <w:rPr>
            <w:rStyle w:val="Hyperlink"/>
            <w:rFonts w:ascii="Times New Roman" w:hAnsi="Times New Roman" w:cs="Times New Roman"/>
            <w:lang w:val="en-US"/>
          </w:rPr>
          <w:t>slope (</w:t>
        </w:r>
        <w:r w:rsidR="00280B51" w:rsidRPr="003830FB">
          <w:rPr>
            <w:rStyle w:val="Hyperlink"/>
            <w:rFonts w:ascii="Times New Roman" w:eastAsia="Times New Roman" w:hAnsi="Times New Roman" w:cs="Times New Roman"/>
            <w:lang w:val="en-US" w:eastAsia="en-US"/>
          </w:rPr>
          <w:t>λ)</w:t>
        </w:r>
        <w:r w:rsidR="00280B51" w:rsidRPr="003830FB">
          <w:rPr>
            <w:rStyle w:val="Hyperlink"/>
            <w:rFonts w:ascii="Times New Roman" w:hAnsi="Times New Roman" w:cs="Times New Roman"/>
            <w:lang w:val="en-US"/>
          </w:rPr>
          <w:t xml:space="preserve"> and intercept parameter (N</w:t>
        </w:r>
        <w:r w:rsidR="00280B51" w:rsidRPr="003830FB">
          <w:rPr>
            <w:rStyle w:val="Hyperlink"/>
            <w:rFonts w:ascii="Times New Roman" w:hAnsi="Times New Roman" w:cs="Times New Roman"/>
            <w:vertAlign w:val="subscript"/>
            <w:lang w:val="en-US"/>
          </w:rPr>
          <w:t>0</w:t>
        </w:r>
        <w:r w:rsidR="00280B51" w:rsidRPr="003830FB">
          <w:rPr>
            <w:rStyle w:val="Hyperlink"/>
            <w:rFonts w:ascii="Times New Roman" w:hAnsi="Times New Roman" w:cs="Times New Roman"/>
            <w:lang w:val="en-US"/>
          </w:rPr>
          <w:t>) from the exponential fit to the size distribution throughout the melting layer. Small hydrometeors are 1,000 µm and less, whereas large hydrometeors have a greater diameter. The first (blue) indicators are for the transition from above to inside the melting layer. The second (red) indicators are for the transition from</w:t>
        </w:r>
        <w:r w:rsidR="00280B51" w:rsidRPr="003830FB">
          <w:rPr>
            <w:rStyle w:val="Hyperlink"/>
            <w:lang w:val="en-US"/>
          </w:rPr>
          <w:t xml:space="preserve"> the melting layer to below. An up arrow is an increase, a down arrow is a decrease, an equal sign is no change, and a dash is no measurements. Having the first and second indicators the same denotes no change throughout the entire melting layer depth (i.e., no steady state is reached and no transition occurs). Case groups are alternatively shaded based on the relative humidity range.</w:t>
        </w:r>
        <w:r w:rsidR="00280B51">
          <w:rPr>
            <w:webHidden/>
          </w:rPr>
          <w:tab/>
        </w:r>
        <w:r w:rsidR="00280B51">
          <w:rPr>
            <w:webHidden/>
          </w:rPr>
          <w:fldChar w:fldCharType="begin"/>
        </w:r>
        <w:r w:rsidR="00280B51">
          <w:rPr>
            <w:webHidden/>
          </w:rPr>
          <w:instrText xml:space="preserve"> PAGEREF _Toc109123161 \h </w:instrText>
        </w:r>
        <w:r w:rsidR="00280B51">
          <w:rPr>
            <w:webHidden/>
          </w:rPr>
        </w:r>
        <w:r w:rsidR="00280B51">
          <w:rPr>
            <w:webHidden/>
          </w:rPr>
          <w:fldChar w:fldCharType="separate"/>
        </w:r>
        <w:r w:rsidR="00DB4BE3">
          <w:rPr>
            <w:webHidden/>
          </w:rPr>
          <w:t>60</w:t>
        </w:r>
        <w:r w:rsidR="00280B51">
          <w:rPr>
            <w:webHidden/>
          </w:rPr>
          <w:fldChar w:fldCharType="end"/>
        </w:r>
      </w:hyperlink>
    </w:p>
    <w:p w14:paraId="2C9F2E17" w14:textId="1A80D021" w:rsidR="00E11436" w:rsidRPr="00DD4B5B" w:rsidRDefault="00E11436" w:rsidP="00BA53A2">
      <w:pPr>
        <w:pStyle w:val="Heading1"/>
        <w:rPr>
          <w:rFonts w:eastAsia="Liberation Serif" w:cs="Liberation Serif"/>
        </w:rPr>
      </w:pPr>
      <w:r w:rsidRPr="00CF0DF4">
        <w:rPr>
          <w:rFonts w:eastAsia="Liberation Serif" w:cs="Liberation Serif"/>
        </w:rPr>
        <w:lastRenderedPageBreak/>
        <w:fldChar w:fldCharType="end"/>
      </w:r>
    </w:p>
    <w:p w14:paraId="12FC4156" w14:textId="0B032DD7" w:rsidR="00DC03CF" w:rsidRPr="00CF0DF4" w:rsidRDefault="00DC03CF" w:rsidP="00515379">
      <w:pPr>
        <w:pStyle w:val="Heading1"/>
        <w:rPr>
          <w:lang w:val="en-US"/>
        </w:rPr>
      </w:pPr>
      <w:bookmarkStart w:id="5" w:name="_Toc109123091"/>
      <w:r w:rsidRPr="00CF0DF4">
        <w:rPr>
          <w:lang w:val="en-US"/>
        </w:rPr>
        <w:t>ACKNOWLEDGMENTS</w:t>
      </w:r>
      <w:bookmarkEnd w:id="3"/>
      <w:bookmarkEnd w:id="5"/>
    </w:p>
    <w:p w14:paraId="55F03A80" w14:textId="0B647CB6" w:rsidR="00515379" w:rsidRPr="00CF0DF4" w:rsidRDefault="6B0933A0" w:rsidP="00DC03CF">
      <w:pPr>
        <w:pStyle w:val="Body"/>
        <w:rPr>
          <w:lang w:val="en-US"/>
        </w:rPr>
      </w:pPr>
      <w:r w:rsidRPr="00CF0DF4">
        <w:rPr>
          <w:lang w:val="en-US"/>
        </w:rPr>
        <w:t>Acknowledgements.</w:t>
      </w:r>
    </w:p>
    <w:p w14:paraId="041A8738" w14:textId="48613BAB" w:rsidR="157B1D98" w:rsidRPr="00CF0DF4" w:rsidRDefault="157B1D98" w:rsidP="157B1D98">
      <w:pPr>
        <w:pStyle w:val="Body"/>
        <w:rPr>
          <w:lang w:val="en-US"/>
        </w:rPr>
      </w:pPr>
      <w:r w:rsidRPr="00CF0DF4">
        <w:rPr>
          <w:lang w:val="en-US"/>
        </w:rPr>
        <w:t>D</w:t>
      </w:r>
      <w:r w:rsidR="00DF6CBC" w:rsidRPr="00CF0DF4">
        <w:rPr>
          <w:lang w:val="en-US"/>
        </w:rPr>
        <w:t>a</w:t>
      </w:r>
      <w:r w:rsidRPr="00CF0DF4">
        <w:rPr>
          <w:lang w:val="en-US"/>
        </w:rPr>
        <w:t xml:space="preserve">ta and software </w:t>
      </w:r>
      <w:r w:rsidR="00DF6CBC" w:rsidRPr="00CF0DF4">
        <w:rPr>
          <w:lang w:val="en-US"/>
        </w:rPr>
        <w:t>availability</w:t>
      </w:r>
      <w:r w:rsidRPr="00CF0DF4">
        <w:rPr>
          <w:lang w:val="en-US"/>
        </w:rPr>
        <w:t xml:space="preserve"> </w:t>
      </w:r>
      <w:r w:rsidR="00DF6CBC" w:rsidRPr="00CF0DF4">
        <w:rPr>
          <w:lang w:val="en-US"/>
        </w:rPr>
        <w:t>in r</w:t>
      </w:r>
      <w:r w:rsidRPr="00CF0DF4">
        <w:rPr>
          <w:lang w:val="en-US"/>
        </w:rPr>
        <w:t>epositor</w:t>
      </w:r>
      <w:r w:rsidR="00DF6CBC" w:rsidRPr="00CF0DF4">
        <w:rPr>
          <w:lang w:val="en-US"/>
        </w:rPr>
        <w:t>y</w:t>
      </w:r>
      <w:r w:rsidRPr="00CF0DF4">
        <w:rPr>
          <w:lang w:val="en-US"/>
        </w:rPr>
        <w:t xml:space="preserve">. </w:t>
      </w:r>
      <w:r w:rsidR="00DF6CBC" w:rsidRPr="00CF0DF4">
        <w:rPr>
          <w:lang w:val="en-US"/>
        </w:rPr>
        <w:t>NASA da</w:t>
      </w:r>
      <w:r w:rsidRPr="00CF0DF4">
        <w:rPr>
          <w:lang w:val="en-US"/>
        </w:rPr>
        <w:t>ta</w:t>
      </w:r>
      <w:r w:rsidR="00DF6CBC" w:rsidRPr="00CF0DF4">
        <w:rPr>
          <w:lang w:val="en-US"/>
        </w:rPr>
        <w:t xml:space="preserve"> are</w:t>
      </w:r>
      <w:r w:rsidRPr="00CF0DF4">
        <w:rPr>
          <w:lang w:val="en-US"/>
        </w:rPr>
        <w:t xml:space="preserve"> available </w:t>
      </w:r>
      <w:r w:rsidR="00DF6CBC" w:rsidRPr="00CF0DF4">
        <w:rPr>
          <w:lang w:val="en-US"/>
        </w:rPr>
        <w:t>at</w:t>
      </w:r>
      <w:r w:rsidRPr="00CF0DF4">
        <w:rPr>
          <w:lang w:val="en-US"/>
        </w:rPr>
        <w:t xml:space="preserve"> NASA DAC archive. </w:t>
      </w:r>
    </w:p>
    <w:p w14:paraId="74F505BE" w14:textId="77777777" w:rsidR="00515379" w:rsidRPr="00CF0DF4" w:rsidRDefault="00515379">
      <w:pPr>
        <w:suppressAutoHyphens w:val="0"/>
        <w:autoSpaceDN/>
        <w:spacing w:after="160" w:line="259" w:lineRule="auto"/>
        <w:textAlignment w:val="auto"/>
        <w:rPr>
          <w:rFonts w:ascii="Times New Roman" w:eastAsia="Liberation Serif" w:hAnsi="Times New Roman" w:cs="Liberation Serif"/>
        </w:rPr>
      </w:pPr>
      <w:r w:rsidRPr="00CF0DF4">
        <w:br w:type="page"/>
      </w:r>
    </w:p>
    <w:p w14:paraId="7C013071" w14:textId="77777777" w:rsidR="00DC03CF" w:rsidRPr="00CF0DF4" w:rsidRDefault="00DC03CF" w:rsidP="00515379">
      <w:pPr>
        <w:pStyle w:val="Heading1"/>
        <w:rPr>
          <w:lang w:val="en-US"/>
        </w:rPr>
      </w:pPr>
      <w:bookmarkStart w:id="6" w:name="__RefHeading___Toc10944_315254120"/>
      <w:bookmarkStart w:id="7" w:name="_Toc109123092"/>
      <w:r w:rsidRPr="00CF0DF4">
        <w:rPr>
          <w:lang w:val="en-US"/>
        </w:rPr>
        <w:lastRenderedPageBreak/>
        <w:t>ABSTRACT</w:t>
      </w:r>
      <w:bookmarkEnd w:id="6"/>
      <w:bookmarkEnd w:id="7"/>
    </w:p>
    <w:p w14:paraId="4CC8E6FC" w14:textId="4A844C3B" w:rsidR="001E7E9E" w:rsidRPr="005E53DC" w:rsidRDefault="00BA53A2" w:rsidP="005E53DC">
      <w:pPr>
        <w:pStyle w:val="Body"/>
        <w:rPr>
          <w:lang w:val="en-US"/>
        </w:rPr>
        <w:sectPr w:rsidR="001E7E9E" w:rsidRPr="005E53DC" w:rsidSect="001E7E9E">
          <w:footerReference w:type="default" r:id="rId9"/>
          <w:type w:val="continuous"/>
          <w:pgSz w:w="12240" w:h="15840"/>
          <w:pgMar w:top="1469" w:right="1469" w:bottom="1469" w:left="1469" w:header="720" w:footer="720" w:gutter="0"/>
          <w:pgNumType w:fmt="lowerRoman" w:start="1"/>
          <w:cols w:space="0"/>
          <w:docGrid w:linePitch="326"/>
        </w:sectPr>
      </w:pPr>
      <w:bookmarkStart w:id="8" w:name="_Toc102411880"/>
      <w:bookmarkStart w:id="9" w:name="__RefHeading___Toc10950_315254120"/>
      <w:r>
        <w:rPr>
          <w:lang w:val="en-US"/>
        </w:rPr>
        <w:t xml:space="preserve">The process of melting snow as clouds precipitate is </w:t>
      </w:r>
      <w:r w:rsidR="00FE0996" w:rsidRPr="000E7DD1">
        <w:rPr>
          <w:lang w:val="en-US"/>
        </w:rPr>
        <w:t>importan</w:t>
      </w:r>
      <w:r w:rsidR="00AF63C9">
        <w:rPr>
          <w:lang w:val="en-US"/>
        </w:rPr>
        <w:t>t</w:t>
      </w:r>
      <w:r w:rsidR="00FE0996" w:rsidRPr="000E7DD1">
        <w:rPr>
          <w:lang w:val="en-US"/>
        </w:rPr>
        <w:t xml:space="preserve"> </w:t>
      </w:r>
      <w:r>
        <w:rPr>
          <w:lang w:val="en-US"/>
        </w:rPr>
        <w:t>for</w:t>
      </w:r>
      <w:r w:rsidR="00FE0996" w:rsidRPr="000E7DD1">
        <w:rPr>
          <w:lang w:val="en-US"/>
        </w:rPr>
        <w:t xml:space="preserve"> storm evolution.</w:t>
      </w:r>
      <w:r w:rsidR="00B12499">
        <w:rPr>
          <w:lang w:val="en-US"/>
        </w:rPr>
        <w:t xml:space="preserve"> The </w:t>
      </w:r>
      <w:r>
        <w:rPr>
          <w:lang w:val="en-US"/>
        </w:rPr>
        <w:t>atmospheric layer where melting occurs h</w:t>
      </w:r>
      <w:r w:rsidR="00133282">
        <w:rPr>
          <w:lang w:val="en-US"/>
        </w:rPr>
        <w:t xml:space="preserve">as largely been </w:t>
      </w:r>
      <w:r w:rsidR="00B12499">
        <w:rPr>
          <w:lang w:val="en-US"/>
        </w:rPr>
        <w:t xml:space="preserve">studied </w:t>
      </w:r>
      <w:r w:rsidR="00046D54">
        <w:rPr>
          <w:lang w:val="en-US"/>
        </w:rPr>
        <w:t xml:space="preserve">with </w:t>
      </w:r>
      <w:r w:rsidR="00B12499">
        <w:rPr>
          <w:lang w:val="en-US"/>
        </w:rPr>
        <w:t>radar</w:t>
      </w:r>
      <w:r w:rsidR="00046D54">
        <w:rPr>
          <w:lang w:val="en-US"/>
        </w:rPr>
        <w:t xml:space="preserve"> observations</w:t>
      </w:r>
      <w:r w:rsidR="00E21A2E">
        <w:rPr>
          <w:lang w:val="en-US"/>
        </w:rPr>
        <w:t xml:space="preserve"> </w:t>
      </w:r>
      <w:r>
        <w:rPr>
          <w:lang w:val="en-US"/>
        </w:rPr>
        <w:t>that</w:t>
      </w:r>
      <w:r w:rsidR="00C46BA0">
        <w:rPr>
          <w:lang w:val="en-US"/>
        </w:rPr>
        <w:t xml:space="preserve"> investigate the bright band </w:t>
      </w:r>
      <w:r>
        <w:rPr>
          <w:lang w:val="en-US"/>
        </w:rPr>
        <w:t>region</w:t>
      </w:r>
      <w:r w:rsidR="00B9194B">
        <w:rPr>
          <w:lang w:val="en-US"/>
        </w:rPr>
        <w:t xml:space="preserve">; however, </w:t>
      </w:r>
      <w:r w:rsidR="00046D54">
        <w:rPr>
          <w:lang w:val="en-US"/>
        </w:rPr>
        <w:t xml:space="preserve">in-situ </w:t>
      </w:r>
      <w:r w:rsidR="006B11A9">
        <w:rPr>
          <w:lang w:val="en-US"/>
        </w:rPr>
        <w:t>observations</w:t>
      </w:r>
      <w:r w:rsidR="00046D54">
        <w:rPr>
          <w:lang w:val="en-US"/>
        </w:rPr>
        <w:t xml:space="preserve"> are necessary </w:t>
      </w:r>
      <w:r w:rsidR="006B11A9">
        <w:rPr>
          <w:lang w:val="en-US"/>
        </w:rPr>
        <w:t>to improve and verify these radar observations</w:t>
      </w:r>
      <w:r w:rsidR="00B9194B">
        <w:rPr>
          <w:lang w:val="en-US"/>
        </w:rPr>
        <w:t>.</w:t>
      </w:r>
      <w:r w:rsidR="00133282">
        <w:rPr>
          <w:lang w:val="en-US"/>
        </w:rPr>
        <w:t xml:space="preserve"> </w:t>
      </w:r>
      <w:r w:rsidR="00FE0996">
        <w:rPr>
          <w:lang w:val="en-US"/>
        </w:rPr>
        <w:t>In-situ o</w:t>
      </w:r>
      <w:r w:rsidR="00FE0996" w:rsidRPr="000E7DD1">
        <w:rPr>
          <w:lang w:val="en-US"/>
        </w:rPr>
        <w:t xml:space="preserve">bservations </w:t>
      </w:r>
      <w:r w:rsidR="00FE0996">
        <w:rPr>
          <w:lang w:val="en-US"/>
        </w:rPr>
        <w:t>during recent NASA field campaign are review</w:t>
      </w:r>
      <w:r w:rsidR="00B12499">
        <w:rPr>
          <w:lang w:val="en-US"/>
        </w:rPr>
        <w:t>ed</w:t>
      </w:r>
      <w:r w:rsidR="00FE0996">
        <w:rPr>
          <w:lang w:val="en-US"/>
        </w:rPr>
        <w:t xml:space="preserve"> to obtain aircraft profiles </w:t>
      </w:r>
      <w:r w:rsidR="00FE0996" w:rsidRPr="000E7DD1">
        <w:rPr>
          <w:lang w:val="en-US"/>
        </w:rPr>
        <w:t>of the melting layer.</w:t>
      </w:r>
      <w:r w:rsidR="00FE0996">
        <w:rPr>
          <w:lang w:val="en-US"/>
        </w:rPr>
        <w:t xml:space="preserve"> A total of thirty-three melting layer cases are analyzed for changes in area ratio and particle size distribution from above, within, and below the melting layer. Additionally, the effect relative humidity in the melting layer is analyzed. The area ratio begins to increase when the ice-bulb temperature is above 0 °C, which indicates the area ratio can depict the melting layer top. Only two of the thirty-three cases analyzed have a 0 °C quasi-isothermal layer nearby the melting layer, which indicates diabatic cooling from melting does not </w:t>
      </w:r>
      <w:r w:rsidR="0053700F">
        <w:rPr>
          <w:lang w:val="en-US"/>
        </w:rPr>
        <w:t>frequently</w:t>
      </w:r>
      <w:r w:rsidR="00FE0996">
        <w:rPr>
          <w:lang w:val="en-US"/>
        </w:rPr>
        <w:t xml:space="preserve"> produce such a layer as has been commonly reported. Additionally, there is a lack of enhanced aggregation within the melting layer, which has been hypothesized as a potential cause of the radar bright band signal. Large hydrometeors concentration decreases from above to below the melting layer; however, the </w:t>
      </w:r>
      <w:r w:rsidR="007756EC">
        <w:rPr>
          <w:lang w:val="en-US"/>
        </w:rPr>
        <w:t>small hydrometeors concentration</w:t>
      </w:r>
      <w:r w:rsidR="00FE0996">
        <w:rPr>
          <w:lang w:val="en-US"/>
        </w:rPr>
        <w:t xml:space="preserve"> does not commonly increase, which suggests that hydrometeors </w:t>
      </w:r>
      <w:proofErr w:type="gramStart"/>
      <w:r w:rsidR="00FE0996">
        <w:rPr>
          <w:lang w:val="en-US"/>
        </w:rPr>
        <w:t>evaporate</w:t>
      </w:r>
      <w:proofErr w:type="gramEnd"/>
      <w:r w:rsidR="00FE0996">
        <w:rPr>
          <w:lang w:val="en-US"/>
        </w:rPr>
        <w:t xml:space="preserve"> and the concentration is shifted to hydrometeors smaller than 500 µm. Exponential spectrum fits to the particle size distribution are largely variable; however, the slope parameter commonly increases in the melting layer, which suggests there is no enhanced aggregation. Still, there is occasionally a small increase in the maximum hydrometeor diameter within the melting layer. Additional analysis could compare radar reflectivity changes to the melting layer observed particle spectrum changes.</w:t>
      </w:r>
      <w:r w:rsidR="00C529EB" w:rsidRPr="00CF0DF4">
        <w:br w:type="page"/>
      </w:r>
    </w:p>
    <w:p w14:paraId="10EF74C4" w14:textId="6BDA8F9E" w:rsidR="00F71C70" w:rsidRPr="00CF0DF4" w:rsidRDefault="0D9B8432" w:rsidP="00F71C70">
      <w:pPr>
        <w:pStyle w:val="Heading1"/>
        <w:rPr>
          <w:lang w:val="en-US"/>
        </w:rPr>
      </w:pPr>
      <w:bookmarkStart w:id="10" w:name="_Toc109123093"/>
      <w:r w:rsidRPr="00CF0DF4">
        <w:rPr>
          <w:lang w:val="en-US"/>
        </w:rPr>
        <w:lastRenderedPageBreak/>
        <w:t>CHAPTER 1</w:t>
      </w:r>
      <w:r w:rsidR="00C254ED" w:rsidRPr="00CF0DF4">
        <w:rPr>
          <w:lang w:val="en-US"/>
        </w:rPr>
        <w:br/>
      </w:r>
      <w:r w:rsidRPr="00CF0DF4">
        <w:rPr>
          <w:lang w:val="en-US"/>
        </w:rPr>
        <w:t>INTRODUCTION</w:t>
      </w:r>
      <w:bookmarkEnd w:id="8"/>
      <w:bookmarkEnd w:id="10"/>
    </w:p>
    <w:p w14:paraId="4D5F4823" w14:textId="77777777" w:rsidR="00F71C70" w:rsidRPr="00CF0DF4" w:rsidRDefault="00F71C70" w:rsidP="00F71C70">
      <w:pPr>
        <w:pStyle w:val="Heading2"/>
        <w:rPr>
          <w:lang w:val="en-US"/>
        </w:rPr>
      </w:pPr>
      <w:bookmarkStart w:id="11" w:name="__RefHeading___Toc10948_315254120"/>
      <w:bookmarkStart w:id="12" w:name="_Toc102411881"/>
      <w:bookmarkStart w:id="13" w:name="_Toc109123094"/>
      <w:r w:rsidRPr="00CF0DF4">
        <w:rPr>
          <w:lang w:val="en-US"/>
        </w:rPr>
        <w:t>1.</w:t>
      </w:r>
      <w:bookmarkEnd w:id="11"/>
      <w:r w:rsidRPr="00CF0DF4">
        <w:rPr>
          <w:lang w:val="en-US"/>
        </w:rPr>
        <w:t>1 The Melting Layer</w:t>
      </w:r>
      <w:bookmarkEnd w:id="12"/>
      <w:bookmarkEnd w:id="13"/>
    </w:p>
    <w:p w14:paraId="729C7932" w14:textId="22ECF5E0" w:rsidR="00FB2994" w:rsidRPr="00CF0DF4" w:rsidRDefault="00F71C70" w:rsidP="00F71C70">
      <w:pPr>
        <w:pStyle w:val="Body"/>
        <w:rPr>
          <w:lang w:val="en-US"/>
        </w:rPr>
      </w:pPr>
      <w:r w:rsidRPr="00CF0DF4">
        <w:rPr>
          <w:lang w:val="en-US"/>
        </w:rPr>
        <w:t>The melting laye</w:t>
      </w:r>
      <w:r w:rsidR="00852C91" w:rsidRPr="00CF0DF4">
        <w:rPr>
          <w:lang w:val="en-US"/>
        </w:rPr>
        <w:t>r in cold precipitating cloud systems</w:t>
      </w:r>
      <w:r w:rsidR="000F0997">
        <w:rPr>
          <w:lang w:val="en-US"/>
        </w:rPr>
        <w:t xml:space="preserve"> is the layer where frozen hydrometeors</w:t>
      </w:r>
      <w:r w:rsidR="000F0997" w:rsidRPr="00CF0DF4">
        <w:rPr>
          <w:lang w:val="en-US"/>
        </w:rPr>
        <w:t xml:space="preserve"> transition</w:t>
      </w:r>
      <w:r w:rsidR="00852C91" w:rsidRPr="00CF0DF4">
        <w:rPr>
          <w:lang w:val="en-US"/>
        </w:rPr>
        <w:t xml:space="preserve"> </w:t>
      </w:r>
      <w:r w:rsidRPr="00CF0DF4">
        <w:rPr>
          <w:lang w:val="en-US"/>
        </w:rPr>
        <w:t xml:space="preserve">from ice to liquid as they fall. The melting layer top has typically been taken to be 0 °C since above this temperature snow starts to melt. However, aircraft measurements </w:t>
      </w:r>
      <w:r w:rsidRPr="00CF0DF4">
        <w:rPr>
          <w:lang w:val="en-US"/>
        </w:rPr>
        <w:fldChar w:fldCharType="begin"/>
      </w:r>
      <w:r w:rsidRPr="00CF0DF4">
        <w:rPr>
          <w:lang w:val="en-US"/>
        </w:rPr>
        <w:instrText xml:space="preserve"> ADDIN ZOTERO_ITEM CSL_CITATION {"citationID":"bSCoQNjI","properties":{"formattedCitation":"(Heymsfield et al. 2002, 2015)","plainCitation":"(Heymsfield et al. 2002, 2015)","noteIndex":0},"citationItems":[{"id":121,"uris":["http://zotero.org/groups/4663654/items/7MNCDJ2L"],"itemData":{"id":121,"type":"article-journal","abstract":"Abstract This study reports on the evolution of particle size distributions (PSDs) and habits as measured during slow, Lagrangian-type spiral descents through deep subtropical and tropical cloud layers in Florida, Brazil, and Kwajalein, Marshall Islands, most of which were precipitating. The objective of the flight patterns was to learn more about how the PSDs evolved in the vertical and to obtain information of the vertical structure of microphysical properties. New instrumentation yielding better information on the concentrations of particles in the size (D) range between 0.2 and 2 cm, as well as improved particle imagery, produced more comprehensive observations for tropical stratiform precipitation regions and anvils than have been available previously. Collocated radar observations provided additional information on the vertical structure of the cloud layers sampled. Most of the spirals began at cloud top, with temperatures (T) as low as −50°C, and ended at cloud base or below the melting layer (ML). The PSDs broadened from cloud top toward cloud base, with the largest particles increasing in size from several millimeters at cloud top, to 1 cm or larger toward cloud base. Some continued growth was noted in the upper part of the ML. Concentrations of particles less than 1 mm in size decreased with decreasing height. The result was a consistent change in the PSDs in the vertical. Similarly, systematic changes in the size dependence of the particle cross-sectional area was noted with decreasing height. Aggregation—as ascertained from both the changes in the PSDs and evolution of particle habits as observed in high detail with the cloud particle imager (CPI) probe—was responsible for these trends. The PSDs were generally well-represented by gamma distributions of the form N = N0ΓDμe−λΓD that were fitted to the PSDs over 1-km horizontal intervals throughout the spirals. The intercept (N0Γ), slope (λΓ), and dispersion (μ) values were derived for each PSD. Exponential curves (N = N0e−λD; μ = 0) were also fitted to the distributions. The λΓ values for given spirals varied systematically with temperature as did the values of λ (exponential), and the data generally conformed to values found in previous studies involving exponential fits to size distributions in midlatitude frontal and cirrus layers. Considerable variability often noted in the PSD properties during the loops of individual spirals was manifested primarily in large changes in N0Γ and N0, but μ, λΓ, and λ remained fairly stable. Temperature is not found to be the sole factor controlling λΓ or λ, but is a primary one. Direct relationships were found between λΓ and N0Γ, or λΓ and μ, for the gamma distributions, and λ and N0 for the exponential. The latter relationship was not found as distinctly in earlier studies; observed PSDs in this study had better fidelity with less scatter. The μ values changed monotonically with T over the range of temperatures and were directly related to N0Γ or λΓ, thereby reducing the number of variables in the PSD functional equation to two. In the upper part of the ML, N0, and λ continued to decrease, and in the lower part these values began to increase as the largest particles melted. General expressions relating various bulk microphysical, radar, and radiative-transfer-related variables to N0Γ and λΓ were developed; they are useful for both tropical and midlatitude clouds. These relationships facilitate the specification of a number of bulk properties in cloud and climate models. The results presented in this paper apply best to temperatures between 0° and −40°C, for which the measured radar reflectivities fall in the range of 0 to 25 dBZe.","container-title":"Journal of the Atmospheric Sciences","DOI":"10.1175/1520-0469(2002)059&lt;3457:OAPOPS&gt;2.0.CO;2","ISSN":"0022-4928, 1520-0469","issue":"24","language":"EN","note":"publisher: American Meteorological Society\nsection: Journal of the Atmospheric Sciences","page":"3457-3491","source":"journals.ametsoc.org","title":"Observations and Parameterizations of Particle Size Distributions in Deep Tropical Cirrus and Stratiform Precipitating Clouds: Results from In Situ Observations in TRMM Field Campaigns","title-short":"Observations and Parameterizations of Particle Size Distributions in Deep Tropical Cirrus and Stratiform Precipitating Clouds","volume":"59","author":[{"family":"Heymsfield","given":"Andrew J."},{"family":"Bansemer","given":"Aaron"},{"family":"Field","given":"Paul R."},{"family":"Durden","given":"Stephen L."},{"family":"Stith","given":"Jeffrey L."},{"family":"Dye","given":"James E."},{"family":"Hall","given":"William"},{"family":"Grainger","given":"Cedric A."}],"issued":{"date-parts":[["2002",12,1]]}}},{"id":28,"uris":["http://zotero.org/users/8639581/items/UCZRTHEJ"],"itemData":{"id":28,"type":"article-journal","abstract":"Abstract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2002, 2015)</w:t>
      </w:r>
      <w:r w:rsidRPr="00CF0DF4">
        <w:rPr>
          <w:lang w:val="en-US"/>
        </w:rPr>
        <w:fldChar w:fldCharType="end"/>
      </w:r>
      <w:r w:rsidRPr="00CF0DF4">
        <w:rPr>
          <w:lang w:val="en-US"/>
        </w:rPr>
        <w:t xml:space="preserve"> </w:t>
      </w:r>
      <w:r w:rsidR="00701AB6" w:rsidRPr="00CF0DF4">
        <w:rPr>
          <w:lang w:val="en-US"/>
        </w:rPr>
        <w:t xml:space="preserve">have </w:t>
      </w:r>
      <w:r w:rsidRPr="00CF0DF4">
        <w:rPr>
          <w:lang w:val="en-US"/>
        </w:rPr>
        <w:t xml:space="preserve">indicated that snow only starts melting at 2 °C in low relative humidity environments. Hence, the wet-bulb temperature of 0 °C is a better representation of the top of the melting layer </w:t>
      </w:r>
      <w:r w:rsidRPr="00CF0DF4">
        <w:rPr>
          <w:lang w:val="en-US"/>
        </w:rPr>
        <w:fldChar w:fldCharType="begin"/>
      </w:r>
      <w:r w:rsidRPr="00CF0DF4">
        <w:rPr>
          <w:lang w:val="en-US"/>
        </w:rPr>
        <w:instrText xml:space="preserve"> ADDIN ZOTERO_ITEM CSL_CITATION {"citationID":"ZYnblQW2","properties":{"formattedCitation":"(Ding et al. 2014; Iversen et al. 2021)","plainCitation":"(Ding et al. 2014; Iversen et al. 2021)","noteIndex":0},"citationItems":[{"id":15,"uris":["http://zotero.org/users/8639581/items/FY68F6NN"],"itemData":{"id":15,"type":"article-journal","container-title":"Journal of Hydrology","DOI":"10.1016/j.jhydrol.2014.03.038","ISSN":"00221694","journalAbbreviation":"Journal of Hydrology","language":"en","page":"154-163","source":"DOI.org (Crossref)","title":"The dependence of precipitation types on surface elevation and meteorological conditions and its parameterization","volume":"513","author":[{"family":"Ding","given":"Baohong"},{"family":"Yang","given":"Kun"},{"family":"Qin","given":"Jun"},{"family":"Wang","given":"Lei"},{"family":"Chen","given":"Yingying"},{"family":"He","given":"Xiaobo"}],"issued":{"date-parts":[["2014",5]]}}},{"id":167,"uris":["http://zotero.org/groups/4663654/items/KL8LRKHQ"],"itemData":{"id":167,"type":"article-journal","abstract":"Snow falling into a melting layer will eventually consist of a fraction of meltwater and hence change its characteristics in terms of size, shape, density and fall speed. Most microphysical parameterizations in numerical weather prediction models typically only represent purely solid or liquid hydrometeors. Generally, this has been an acceptable compromise since the melting layer is typically very shallow and adding a mixed solid/liquid particle type would result in increased computational time. This research shows how improvements were made to the treatment of melting snow in a microphysical parameterization within the Weather Research and Forecasting (WRF) model by implementing an approximation of snowflake melted fraction together with a physically-based expression for melting particle terminal velocity. In addition, the more appropriate definition of melting level defined by the wet-bulb temperature was consistently used in various process rates, all while not adding additional prognostic variables that would add computational cost. Multiple events observed during the 2015–2016 Olympic Mountain Experiment (OLYMPEX) were used to compare with the WRF model results. The modified scheme is able to represent disdrometer observations of joint particle size and fall velocity during wet snow events, as well as fall velocity profiles through the melting layer derived from a vertically-pointing radar. The improved scheme removes ‘bulls’ eyes' of snow accumulation in lee-side areas within the melting zone, and should result in better predictions of surface precipitation phase and amount.","container-title":"Atmospheric Research","DOI":"10.1016/j.atmosres.2021.105471","ISSN":"0169-8095","journalAbbreviation":"Atmospheric Research","language":"en","page":"105471","source":"ScienceDirect","title":"Improvements to melting snow behavior in a bulk microphysics scheme","volume":"253","author":[{"family":"Iversen","given":"Emilie C."},{"family":"Thompson","given":"Gregory"},{"family":"Nygaard","given":"Bjørn Egil"}],"issued":{"date-parts":[["2021",5,1]]}}}],"schema":"https://github.com/citation-style-language/schema/raw/master/csl-citation.json"} </w:instrText>
      </w:r>
      <w:r w:rsidRPr="00CF0DF4">
        <w:rPr>
          <w:lang w:val="en-US"/>
        </w:rPr>
        <w:fldChar w:fldCharType="separate"/>
      </w:r>
      <w:r w:rsidRPr="00CF0DF4">
        <w:rPr>
          <w:rFonts w:cs="Times New Roman"/>
          <w:lang w:val="en-US"/>
        </w:rPr>
        <w:t>(Ding et al. 2014; Iversen et al. 2021)</w:t>
      </w:r>
      <w:r w:rsidRPr="00CF0DF4">
        <w:rPr>
          <w:lang w:val="en-US"/>
        </w:rPr>
        <w:fldChar w:fldCharType="end"/>
      </w:r>
      <w:r w:rsidRPr="00CF0DF4">
        <w:rPr>
          <w:lang w:val="en-US"/>
        </w:rPr>
        <w:t xml:space="preserve">. However,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{"citationID":"KL5rPH4x","properties":{"formattedCitation":"(Heymsfield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lang w:val="en-US"/>
        </w:rPr>
        <w:t xml:space="preserve"> determined that melting only begins when air has an ice-bulb temperature warmer than 0 °C because when air has a temperature</w:t>
      </w:r>
      <w:r w:rsidR="00701AB6" w:rsidRPr="00CF0DF4">
        <w:rPr>
          <w:lang w:val="en-US"/>
        </w:rPr>
        <w:t xml:space="preserve"> that</w:t>
      </w:r>
      <w:r w:rsidRPr="00CF0DF4">
        <w:rPr>
          <w:lang w:val="en-US"/>
        </w:rPr>
        <w:t xml:space="preserve"> is warmer than 0 °C, and an ice-bulb temperature colder than 0 °C, </w:t>
      </w:r>
      <w:r w:rsidR="00781424">
        <w:rPr>
          <w:lang w:val="en-US"/>
        </w:rPr>
        <w:t>hydrometeors</w:t>
      </w:r>
      <w:r w:rsidRPr="00CF0DF4">
        <w:rPr>
          <w:lang w:val="en-US"/>
        </w:rPr>
        <w:t xml:space="preserve"> sublimate. A schematic of the relationship between air temperature, relative humidity, the sublimation zone, and melting zone for two different pressure levels is shown in figure 1 of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{"citationID":"BztxizSN","properties":{"formattedCitation":"(Heymsfield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xml:space="preserve">. </w:t>
      </w:r>
      <w:r w:rsidRPr="00CF0DF4">
        <w:rPr>
          <w:lang w:val="en-US"/>
        </w:rPr>
        <w:t xml:space="preserve">At a pressure of 1,000 </w:t>
      </w:r>
      <w:proofErr w:type="spellStart"/>
      <w:r w:rsidRPr="00CF0DF4">
        <w:rPr>
          <w:lang w:val="en-US"/>
        </w:rPr>
        <w:t>hPa</w:t>
      </w:r>
      <w:proofErr w:type="spellEnd"/>
      <w:r w:rsidRPr="00CF0DF4">
        <w:rPr>
          <w:lang w:val="en-US"/>
        </w:rPr>
        <w:t xml:space="preserve"> and relative humidity of 70 percent, snow only starts melting when the air temperature is a little warmer than 2 °C. The effect of relative humidity on melting is more pronounced at lower pressures. For example, at 500 </w:t>
      </w:r>
      <w:proofErr w:type="spellStart"/>
      <w:r w:rsidRPr="00CF0DF4">
        <w:rPr>
          <w:lang w:val="en-US"/>
        </w:rPr>
        <w:t>hPa</w:t>
      </w:r>
      <w:proofErr w:type="spellEnd"/>
      <w:r w:rsidRPr="00CF0DF4">
        <w:rPr>
          <w:lang w:val="en-US"/>
        </w:rPr>
        <w:t xml:space="preserve"> and 90 percent relative humidity, snow starts melting at an air temperature of approximately 1.5 °C, while at 1,000 </w:t>
      </w:r>
      <w:proofErr w:type="spellStart"/>
      <w:r w:rsidRPr="00CF0DF4">
        <w:rPr>
          <w:lang w:val="en-US"/>
        </w:rPr>
        <w:t>hPa</w:t>
      </w:r>
      <w:proofErr w:type="spellEnd"/>
      <w:r w:rsidRPr="00CF0DF4">
        <w:rPr>
          <w:lang w:val="en-US"/>
        </w:rPr>
        <w:t xml:space="preserve"> melting starts at 1.0 °C. Hence, it important to not simply use 0 °C to determine the top of the melting layer. Recent studies indicate using the 0 °C ice-bulb isotherm as melting layer top is the best representation because it accounts for air temperature, relative humidity, pressure</w:t>
      </w:r>
      <w:r w:rsidR="0051509E">
        <w:rPr>
          <w:lang w:val="en-US"/>
        </w:rPr>
        <w:t>, and</w:t>
      </w:r>
      <w:r w:rsidR="00224EB6">
        <w:rPr>
          <w:lang w:val="en-US"/>
        </w:rPr>
        <w:t xml:space="preserve"> the</w:t>
      </w:r>
      <w:r w:rsidR="0051509E">
        <w:rPr>
          <w:lang w:val="en-US"/>
        </w:rPr>
        <w:t xml:space="preserve"> phase of the hydrometeor.</w:t>
      </w:r>
    </w:p>
    <w:p w14:paraId="70DD5203" w14:textId="7B399206" w:rsidR="00F71C70" w:rsidRPr="00CF0DF4" w:rsidRDefault="00F71C70" w:rsidP="00F71C70">
      <w:pPr>
        <w:pStyle w:val="Body"/>
        <w:rPr>
          <w:lang w:val="en-US"/>
        </w:rPr>
      </w:pPr>
      <w:r w:rsidRPr="00CF0DF4">
        <w:rPr>
          <w:lang w:val="en-US"/>
        </w:rPr>
        <w:t xml:space="preserve">In subsaturated air, snow falls farther before melting, which increases the depth of the melting layer compared to saturated air. </w:t>
      </w:r>
      <w:r w:rsidRPr="00CF0DF4">
        <w:rPr>
          <w:lang w:val="en-US"/>
        </w:rPr>
        <w:fldChar w:fldCharType="begin"/>
      </w:r>
      <w:r w:rsidRPr="00CF0DF4">
        <w:rPr>
          <w:lang w:val="en-US"/>
        </w:rPr>
        <w:instrText xml:space="preserve"> ADDIN ZOTERO_ITEM CSL_CITATION {"citationID":"obclynzV","properties":{"formattedCitation":"(McFarquhar et al. 2007)","plainCitation":"(McFarquhar et al. 2007)","dontUpdate":true,"noteIndex":0},"citationItems":[{"id":128,"uris":["http://zotero.org/groups/4663654/items/WTMFAD4M"],"itemData":{"id":128,"type":"article-journal","abstract":"Abstract During the Bow Echo and Mesoscale Convective Vortex Experiment, the NOAA P-3 research aircraft executed 17 spiral descents to the rear of convective lines to document the vertical variability of hydrometeors above, within, and below the stratiform melting layer. Ten spirals were behind lines that exhibited bowing at some stage in their evolution. Although quick descents on some spirals forced sampling of different particle zones, clear trends with respect to temperature were seen. For 16 spirals, the ambient relative humidity with respect to ice was in the range of 100% ± 4% at temperatures between −10°C and the melting layer, but exhibited steady decreases below the melting layer to an average relative humidity with respect to water of 77% ± 15% at 9°C. In contrast, one spiral conducted on 29 June 2003 directly behind a developing bow echo had a relative humidity with respect to ice averaging 85% at heights above the 0°C level and relative humidity with respect to ice further decreased below the 0°C level to a minimum relative humidity with respect to water of 48% at 9°C. Vertical profiles of particle shapes, size distributions (SDs), total mass contents (TMC), number concentrations, and parameters of gamma distributions fit to SDs were computed using optical array probe data in conjunction with measurements of radar reflectivity from the P-3 X-band tail radar. For spirals with humidity at or near saturation above the melting layer, melting particles occurred through about 300 m of cloud depth between 0° and 2° or 3°C. Above the melting layer, number concentrations, dominated by smaller crystals, decreased at 19% ± 10% °C−1, faster than the 10% ± 7% °C−1 decrease of TMC dominated by larger particles. Increases in the numbers of crystals with a maximum dimension &lt;2 mm (N&lt;2) and in the slope parameter with temperature also occurred. To the extent that in-cloud heterogeneity did not complicate observed trends, these trends suggest aggregation dominated the evolution of SDs. Observations on 29 June differ from other days and are explained by the unique position and timing of the spiral in subsaturated air behind a developing bow. On 29 June the presence of an isothermal layer at 2.5°C suggested that sublimative cooling delayed the onset of melting. Ice at 7°C showed that melting particles were present through 500 m of cloud depth. A slight decrease in N&lt;2, but no decrease in the slope parameter, with temperature suggested that sublimation modified the impact of aggregation. Sublimative cooling would only have been significant at the location of the 29 June spiral. For other spirals, evaporative cooling below the melting layer in subsaturated regions was the most important diabatic processes in the stratiform regions at the time of the observations.","container-title":"Monthly Weather Review","DOI":"10.1175/MWR3444.1","ISSN":"1520-0493, 0027-0644","issue":"10","language":"EN","note":"publisher: American Meteorological Society\nsection: Monthly Weather Review","page":"3405-3428","source":"journals.ametsoc.org","title":"Vertical Variability of Cloud Hydrometeors in the Stratiform Region of Mesoscale Convective Systems and Bow Echoes","volume":"135","author":[{"family":"McFarquhar","given":"Greg M."},{"family":"Timlin","given":"Michael S."},{"family":"Rauber","given":"Robert M."},{"family":"Jewett","given":"Brian F."},{"family":"Grim","given":"Joseph A."},{"family":"Jorgensen","given":"David P."}],"issued":{"date-parts":[["2007",10,1]]}}}],"schema":"https://github.com/citation-style-language/schema/raw/master/csl-citation.json"} </w:instrText>
      </w:r>
      <w:r w:rsidRPr="00CF0DF4">
        <w:rPr>
          <w:lang w:val="en-US"/>
        </w:rPr>
        <w:fldChar w:fldCharType="separate"/>
      </w:r>
      <w:r w:rsidRPr="00CF0DF4">
        <w:rPr>
          <w:rFonts w:cs="Times New Roman"/>
          <w:lang w:val="en-US"/>
        </w:rPr>
        <w:t>McFarquhar et al. (2007)</w:t>
      </w:r>
      <w:r w:rsidRPr="00CF0DF4">
        <w:rPr>
          <w:lang w:val="en-US"/>
        </w:rPr>
        <w:fldChar w:fldCharType="end"/>
      </w:r>
      <w:r w:rsidRPr="00CF0DF4">
        <w:rPr>
          <w:lang w:val="en-US"/>
        </w:rPr>
        <w:t xml:space="preserve"> found that melting occurred within 300 </w:t>
      </w:r>
      <w:r w:rsidRPr="00CF0DF4">
        <w:rPr>
          <w:lang w:val="en-US"/>
        </w:rPr>
        <w:lastRenderedPageBreak/>
        <w:t>m when near or at saturation, while the melting layer was 500 m for subsaturated air.</w:t>
      </w:r>
      <w:r w:rsidR="00FB2994" w:rsidRPr="00CF0DF4">
        <w:rPr>
          <w:lang w:val="en-US"/>
        </w:rPr>
        <w:t xml:space="preserve"> </w:t>
      </w:r>
      <w:r w:rsidRPr="00CF0DF4">
        <w:rPr>
          <w:lang w:val="en-US"/>
        </w:rPr>
        <w:t xml:space="preserve">The melting layer depth is an important feature that can affect the thermal structure and dynamics of clouds. </w:t>
      </w:r>
      <w:r w:rsidRPr="00CF0DF4">
        <w:rPr>
          <w:lang w:val="en-US"/>
        </w:rPr>
        <w:fldChar w:fldCharType="begin"/>
      </w:r>
      <w:r w:rsidRPr="00CF0DF4">
        <w:rPr>
          <w:lang w:val="en-US"/>
        </w:rPr>
        <w:instrText xml:space="preserve"> ADDIN ZOTERO_ITEM CSL_CITATION {"citationID":"HOXiD0AX","properties":{"formattedCitation":"(Findeisen 1940)","plainCitation":"(Findeisen 1940)","dontUpdate":true,"noteIndex":0},"citationItems":[{"id":174,"uris":["http://zotero.org/groups/4663654/items/MKNEG7R6"],"itemData":{"id":174,"type":"article-journal","container-title":"Meteorologische Zeitschrift","journalAbbreviation":"Meteor. Z.","page":"49-54","title":"The formation of the 0°C isothermal layer and fractocumulus under nimbostratus.","volume":"57","author":[{"family":"Findeisen","given":"Walter"}],"issued":{"date-parts":[["1940"]]}}}],"schema":"https://github.com/citation-style-language/schema/raw/master/csl-citation.json"} </w:instrText>
      </w:r>
      <w:r w:rsidRPr="00CF0DF4">
        <w:rPr>
          <w:lang w:val="en-US"/>
        </w:rPr>
        <w:fldChar w:fldCharType="separate"/>
      </w:r>
      <w:r w:rsidRPr="00CF0DF4">
        <w:rPr>
          <w:rFonts w:cs="Times New Roman"/>
          <w:lang w:val="en-US"/>
        </w:rPr>
        <w:t>Findeisen (1940)</w:t>
      </w:r>
      <w:r w:rsidRPr="00CF0DF4">
        <w:rPr>
          <w:lang w:val="en-US"/>
        </w:rPr>
        <w:fldChar w:fldCharType="end"/>
      </w:r>
      <w:r w:rsidRPr="00CF0DF4">
        <w:rPr>
          <w:lang w:val="en-US"/>
        </w:rPr>
        <w:t xml:space="preserve"> discovered diabatic cooling associated with melting creates a 0 °C isothermal layer. </w:t>
      </w:r>
      <w:r w:rsidRPr="00CF0DF4">
        <w:rPr>
          <w:lang w:val="en-US"/>
        </w:rPr>
        <w:fldChar w:fldCharType="begin"/>
      </w:r>
      <w:r w:rsidRPr="00CF0DF4">
        <w:rPr>
          <w:lang w:val="en-US"/>
        </w:rPr>
        <w:instrText xml:space="preserve"> ADDIN ZOTERO_ITEM CSL_CITATION {"citationID":"tiKNwJGW","properties":{"formattedCitation":"(Wexler et al. 1954)","plainCitation":"(Wexler et al. 1954)","dontUpdate":true,"noteIndex":0},"citationItems":[{"id":22,"uris":["http://zotero.org/users/8639581/items/JP9HC2DX"],"itemData":{"id":22,"type":"article-journal","container-title":"Bulletin of the American Meteorological Society","DOI":"10.1175/1520-0477-35.2.48","ISSN":"0003-0007, 1520-0477","issue":"2","language":"en","page":"48-51","source":"DOI.org (Crossref)","title":"Atmospheric Cooling by Melting Snow *","volume":"35","author":[{"family":"Wexler","given":"R."},{"family":"Reed","given":"R. J."},{"family":"Honig","given":"J."}],"issued":{"date-parts":[["1954",2,1]]}}}],"schema":"https://github.com/citation-style-language/schema/raw/master/csl-citation.json"} </w:instrText>
      </w:r>
      <w:r w:rsidRPr="00CF0DF4">
        <w:rPr>
          <w:lang w:val="en-US"/>
        </w:rPr>
        <w:fldChar w:fldCharType="separate"/>
      </w:r>
      <w:r w:rsidRPr="00CF0DF4">
        <w:rPr>
          <w:rFonts w:cs="Times New Roman"/>
          <w:lang w:val="en-US"/>
        </w:rPr>
        <w:t>Wexler et al. (1954)</w:t>
      </w:r>
      <w:r w:rsidRPr="00CF0DF4">
        <w:rPr>
          <w:lang w:val="en-US"/>
        </w:rPr>
        <w:fldChar w:fldCharType="end"/>
      </w:r>
      <w:r w:rsidRPr="00CF0DF4">
        <w:rPr>
          <w:lang w:val="en-US"/>
        </w:rPr>
        <w:t xml:space="preserve"> showed that diabatic cooling is significant in lowering the freezing level, which deepens the melting layer and extends the survival of snow below the freezing level. Additionally, the unstable lapse rate created by diabatic cooling causes subsidence of the cold air. For example, the cooling, and the associated subsidence, can cause surface temperature to drop</w:t>
      </w:r>
      <w:r w:rsidR="00FB2994" w:rsidRPr="00CF0DF4">
        <w:rPr>
          <w:lang w:val="en-US"/>
        </w:rPr>
        <w:t xml:space="preserve"> up to </w:t>
      </w:r>
      <w:r w:rsidRPr="00CF0DF4">
        <w:rPr>
          <w:lang w:val="en-US"/>
        </w:rPr>
        <w:t>4.4 °C (8 °F).</w:t>
      </w:r>
    </w:p>
    <w:p w14:paraId="75A03C3D" w14:textId="2C7BD86F" w:rsidR="00F71C70" w:rsidRPr="00CF0DF4" w:rsidRDefault="00F71C70" w:rsidP="00F71C70">
      <w:pPr>
        <w:pStyle w:val="Body"/>
        <w:rPr>
          <w:lang w:val="en-US"/>
        </w:rPr>
      </w:pPr>
      <w:r w:rsidRPr="00CF0DF4">
        <w:rPr>
          <w:lang w:val="en-US"/>
        </w:rPr>
        <w:t xml:space="preserve">The 0 °C isothermal layer produces mesoscale circulations. </w:t>
      </w:r>
      <w:r w:rsidRPr="00CF0DF4">
        <w:rPr>
          <w:lang w:val="en-US"/>
        </w:rPr>
        <w:fldChar w:fldCharType="begin"/>
      </w:r>
      <w:r w:rsidRPr="00CF0DF4">
        <w:rPr>
          <w:lang w:val="en-US"/>
        </w:rPr>
        <w:instrText xml:space="preserve"> ADDIN ZOTERO_ITEM CSL_CITATION {"citationID":"BEQKiXLq","properties":{"formattedCitation":"(Atlas et al. 1969)","plainCitation":"(Atlas et al. 1969)","dontUpdate":true,"noteIndex":0},"citationItems":[{"id":175,"uris":["http://zotero.org/groups/4663654/items/XZ2Z3Z2N"],"itemData":{"id":175,"type":"article-journal","abstract":"Doppler radar observations during widespread frontal precipitation in England on 20 February 1967 show significant perturbations of the wind in and near the melting layer. The analysis suggests the following hypotheses: (i) Mesoscale oscillations of the wind near the melting layer are produced by pressure perturbations due to horizontal variations in cooling by melting snow associated with the precipitation pattern. A simple theoretical analysis of the effect is presented. In simple patterns, the perturbed wind has a maximum on the low pressure side of the rainfall. The perturbations propagate with the velocity of the precipitation generators and their magnitude increases with the precipitation rate. This hypothesis is in accord with the finding that the oscillation in the tangential wind across hurricane rain bands is generally a maximum on the low pressure side of the bands. (ii) Smaller scale wind perturbations were also observed in the melting layer with scale of a few kilometers comparable to those reported by Harrold and Browning (1967). However, unlike their observations, these perturbations did not appear to move with the melting layer winds. A tentative suggestion is made that these may represent wave motions.","container-title":"Quarterly Journal of the Royal Meteorological Society","DOI":"10.1002/qj.49709540508","ISSN":"1477-870X","issue":"405","language":"en","note":"_eprint: https://onlinelibrary.wiley.com/doi/pdf/10.1002/qj.49709540508","page":"544-560","source":"Wiley Online Library","title":"Precipitation-induced mesoscale wind perturbations in the melting layer","volume":"95","author":[{"family":"Atlas","given":"D."},{"family":"Tatehira","given":"R."},{"family":"Srivastava","given":"R. C."},{"family":"Marker","given":"W."},{"family":"Carbone","given":"R. E."}],"issued":{"date-parts":[["1969"]]}}}],"schema":"https://github.com/citation-style-language/schema/raw/master/csl-citation.json"} </w:instrText>
      </w:r>
      <w:r w:rsidRPr="00CF0DF4">
        <w:rPr>
          <w:lang w:val="en-US"/>
        </w:rPr>
        <w:fldChar w:fldCharType="separate"/>
      </w:r>
      <w:r w:rsidRPr="00CF0DF4">
        <w:rPr>
          <w:rFonts w:cs="Times New Roman"/>
          <w:lang w:val="en-US"/>
        </w:rPr>
        <w:t>Atlas et al. (1969)</w:t>
      </w:r>
      <w:r w:rsidRPr="00CF0DF4">
        <w:rPr>
          <w:lang w:val="en-US"/>
        </w:rPr>
        <w:fldChar w:fldCharType="end"/>
      </w:r>
      <w:r w:rsidRPr="00CF0DF4">
        <w:rPr>
          <w:lang w:val="en-US"/>
        </w:rPr>
        <w:t xml:space="preserve"> investigated these mesoscale circulations and the relation to precipitation intensity. Horizontal inhomogeneity of diabatic cooling due to melting snow creates horizontal pressure perturbations in the melting layer, which caused mesoscale oscillations of the wind</w:t>
      </w:r>
      <w:r w:rsidR="00807DA5" w:rsidRPr="00CF0DF4">
        <w:rPr>
          <w:lang w:val="en-US"/>
        </w:rPr>
        <w:t xml:space="preserve"> (</w:t>
      </w:r>
      <w:r w:rsidR="00807DA5" w:rsidRPr="00CF0DF4">
        <w:rPr>
          <w:lang w:val="en-US"/>
        </w:rPr>
        <w:fldChar w:fldCharType="begin"/>
      </w:r>
      <w:r w:rsidR="00295E94" w:rsidRPr="00CF0DF4">
        <w:rPr>
          <w:lang w:val="en-US"/>
        </w:rPr>
        <w:instrText xml:space="preserve"> ADDIN ZOTERO_ITEM CSL_CITATION {"citationID":"3gSbRdCj","properties":{"formattedCitation":"(Atlas et al. 1969)","plainCitation":"(Atlas et al. 1969)","dontUpdate":true,"noteIndex":0},"citationItems":[{"id":175,"uris":["http://zotero.org/groups/4663654/items/XZ2Z3Z2N"],"itemData":{"id":175,"type":"article-journal","abstract":"Doppler radar observations during widespread frontal precipitation in England on 20 February 1967 show significant perturbations of the wind in and near the melting layer. The analysis suggests the following hypotheses: (i) Mesoscale oscillations of the wind near the melting layer are produced by pressure perturbations due to horizontal variations in cooling by melting snow associated with the precipitation pattern. A simple theoretical analysis of the effect is presented. In simple patterns, the perturbed wind has a maximum on the low pressure side of the rainfall. The perturbations propagate with the velocity of the precipitation generators and their magnitude increases with the precipitation rate. This hypothesis is in accord with the finding that the oscillation in the tangential wind across hurricane rain bands is generally a maximum on the low pressure side of the bands. (ii) Smaller scale wind perturbations were also observed in the melting layer with scale of a few kilometers comparable to those reported by Harrold and Browning (1967). However, unlike their observations, these perturbations did not appear to move with the melting layer winds. A tentative suggestion is made that these may represent wave motions.","container-title":"Quarterly Journal of the Royal Meteorological Society","DOI":"10.1002/qj.49709540508","ISSN":"1477-870X","issue":"405","language":"en","note":"_eprint: https://onlinelibrary.wiley.com/doi/pdf/10.1002/qj.49709540508","page":"544-560","source":"Wiley Online Library","title":"Precipitation-induced mesoscale wind perturbations in the melting layer","volume":"95","author":[{"family":"Atlas","given":"D."},{"family":"Tatehira","given":"R."},{"family":"Srivastava","given":"R. C."},{"family":"Marker","given":"W."},{"family":"Carbone","given":"R. E."}],"issued":{"date-parts":[["1969"]]}}}],"schema":"https://github.com/citation-style-language/schema/raw/master/csl-citation.json"} </w:instrText>
      </w:r>
      <w:r w:rsidR="00807DA5" w:rsidRPr="00CF0DF4">
        <w:rPr>
          <w:lang w:val="en-US"/>
        </w:rPr>
        <w:fldChar w:fldCharType="separate"/>
      </w:r>
      <w:r w:rsidR="00807DA5" w:rsidRPr="00CF0DF4">
        <w:rPr>
          <w:rFonts w:cs="Times New Roman"/>
          <w:lang w:val="en-US"/>
        </w:rPr>
        <w:t>Atlas et al. 1969)</w:t>
      </w:r>
      <w:r w:rsidR="00807DA5" w:rsidRPr="00CF0DF4">
        <w:rPr>
          <w:lang w:val="en-US"/>
        </w:rPr>
        <w:fldChar w:fldCharType="end"/>
      </w:r>
      <w:r w:rsidRPr="00CF0DF4">
        <w:rPr>
          <w:lang w:val="en-US"/>
        </w:rPr>
        <w:t xml:space="preserve">. </w:t>
      </w:r>
      <w:r w:rsidR="00807DA5" w:rsidRPr="00CF0DF4">
        <w:rPr>
          <w:lang w:val="en-US"/>
        </w:rPr>
        <w:t xml:space="preserve">These </w:t>
      </w:r>
      <w:r w:rsidR="00772487" w:rsidRPr="00CF0DF4">
        <w:rPr>
          <w:lang w:val="en-US"/>
        </w:rPr>
        <w:t>m</w:t>
      </w:r>
      <w:r w:rsidRPr="00CF0DF4">
        <w:rPr>
          <w:lang w:val="en-US"/>
        </w:rPr>
        <w:t xml:space="preserve">esoscale wind perturbations have a maximum on the </w:t>
      </w:r>
      <w:proofErr w:type="gramStart"/>
      <w:r w:rsidRPr="00CF0DF4">
        <w:rPr>
          <w:lang w:val="en-US"/>
        </w:rPr>
        <w:t>low pressure</w:t>
      </w:r>
      <w:proofErr w:type="gramEnd"/>
      <w:r w:rsidRPr="00CF0DF4">
        <w:rPr>
          <w:lang w:val="en-US"/>
        </w:rPr>
        <w:t xml:space="preserve"> side of storms and the magnitude increases with precipitation intensity. Small scale wind perturbations also caused wave motion. </w:t>
      </w:r>
      <w:r w:rsidRPr="00CF0DF4">
        <w:rPr>
          <w:lang w:val="en-US"/>
        </w:rPr>
        <w:fldChar w:fldCharType="begin"/>
      </w:r>
      <w:r w:rsidRPr="00CF0DF4">
        <w:rPr>
          <w:lang w:val="en-US"/>
        </w:rPr>
        <w:instrText xml:space="preserve"> ADDIN ZOTERO_ITEM CSL_CITATION {"citationID":"7zBlC7Wl","properties":{"formattedCitation":"(Stewart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−5°C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took atmospheric soundings of a melting layer that produced a 200 m thick isothermal layer. In the isothermal layer, equivalent potential temperature increased with height</w:t>
      </w:r>
      <w:r w:rsidR="005344C0" w:rsidRPr="00CF0DF4">
        <w:rPr>
          <w:lang w:val="en-US"/>
        </w:rPr>
        <w:t>, whereas below the isothermal layer, it decreased with height.</w:t>
      </w:r>
      <w:r w:rsidR="00536609" w:rsidRPr="00CF0DF4">
        <w:rPr>
          <w:lang w:val="en-US"/>
        </w:rPr>
        <w:t xml:space="preserve"> </w:t>
      </w:r>
      <w:r w:rsidRPr="00CF0DF4">
        <w:rPr>
          <w:lang w:val="en-US"/>
        </w:rPr>
        <w:t xml:space="preserve">The diabatic cooling and associated conditionally unstable layer created a dynamic response that could induce turbulence or shallow embedded convection. </w:t>
      </w:r>
      <w:r w:rsidRPr="00CF0DF4">
        <w:rPr>
          <w:lang w:val="en-US"/>
        </w:rPr>
        <w:fldChar w:fldCharType="begin"/>
      </w:r>
      <w:r w:rsidRPr="00CF0DF4">
        <w:rPr>
          <w:lang w:val="en-US"/>
        </w:rPr>
        <w:instrText xml:space="preserve"> ADDIN ZOTERO_ITEM CSL_CITATION {"citationID":"laSnbdyL","properties":{"formattedCitation":"(Lin and Stewart 1986)","plainCitation":"(Lin and Stewart 1986)","dontUpdate":true,"noteIndex":0},"citationItems":[{"id":19,"uris":["http://zotero.org/users/8639581/items/KDJV4YXT"],"itemData":{"id":19,"type":"article-journal","container-title":"Journal of Geophysical Research","DOI":"10.1029/JD091iD12p13299","ISSN":"0148-0227","issue":"D12","journalAbbreviation":"J. Geophys. Res.","language":"en","page":"13299","source":"DOI.org (Crossref)","title":"Mesoscale circulations initiated by melting snow","volume":"91","author":[{"family":"Lin","given":"Charles A."},{"family":"Stewart","given":"Ronald E."}],"issued":{"date-parts":[["1986"]]}}}],"schema":"https://github.com/citation-style-language/schema/raw/master/csl-citation.json"} </w:instrText>
      </w:r>
      <w:r w:rsidRPr="00CF0DF4">
        <w:rPr>
          <w:lang w:val="en-US"/>
        </w:rPr>
        <w:fldChar w:fldCharType="separate"/>
      </w:r>
      <w:r w:rsidRPr="00CF0DF4">
        <w:rPr>
          <w:rFonts w:cs="Times New Roman"/>
          <w:lang w:val="en-US"/>
        </w:rPr>
        <w:t>Lin and Stewart (1986)</w:t>
      </w:r>
      <w:r w:rsidRPr="00CF0DF4">
        <w:rPr>
          <w:lang w:val="en-US"/>
        </w:rPr>
        <w:fldChar w:fldCharType="end"/>
      </w:r>
      <w:r w:rsidRPr="00CF0DF4">
        <w:rPr>
          <w:lang w:val="en-US"/>
        </w:rPr>
        <w:t xml:space="preserve"> confirmed previous findings of non-uniform, diabatic cooling producing mesoscale circulations. The circulations were </w:t>
      </w:r>
      <w:proofErr w:type="gramStart"/>
      <w:r w:rsidRPr="00CF0DF4">
        <w:rPr>
          <w:lang w:val="en-US"/>
        </w:rPr>
        <w:t>similar to</w:t>
      </w:r>
      <w:proofErr w:type="gramEnd"/>
      <w:r w:rsidRPr="00CF0DF4">
        <w:rPr>
          <w:lang w:val="en-US"/>
        </w:rPr>
        <w:t xml:space="preserve"> sea breeze circulations; however, were forced by a horizontal temperature perturbation aloft, where the updrafts in the isothermal layer created outflow below and inflow above. The magnitude of the circulation was found to be related to the amount of cooling. </w:t>
      </w:r>
      <w:r w:rsidRPr="00CF0DF4">
        <w:rPr>
          <w:lang w:val="en-US"/>
        </w:rPr>
        <w:fldChar w:fldCharType="begin"/>
      </w:r>
      <w:r w:rsidRPr="00CF0DF4">
        <w:rPr>
          <w:lang w:val="en-US"/>
        </w:rPr>
        <w:instrText xml:space="preserve"> ADDIN ZOTERO_ITEM CSL_CITATION {"citationID":"lik3jckj","properties":{"formattedCitation":"(Willis and Heymsfield 1989)","plainCitation":"(Willis and Heymsfield 1989)","dontUpdate":true,"noteIndex":0},"citationItems":[{"id":125,"uris":["http://zotero.org/groups/4663654/items/4U3A5ASG"],"itemData":{"id":125,"type":"article-journal","abstract":"Abstract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J."}],"issued":{"date-parts":[["1989",7,1]]}}}],"schema":"https://github.com/citation-style-language/schema/raw/master/csl-citation.json"} </w:instrText>
      </w:r>
      <w:r w:rsidRPr="00CF0DF4">
        <w:rPr>
          <w:lang w:val="en-US"/>
        </w:rPr>
        <w:fldChar w:fldCharType="separate"/>
      </w:r>
      <w:r w:rsidRPr="00CF0DF4">
        <w:rPr>
          <w:rFonts w:cs="Times New Roman"/>
          <w:lang w:val="en-US"/>
        </w:rPr>
        <w:t>Willis and Heymsfield (1989)</w:t>
      </w:r>
      <w:r w:rsidRPr="00CF0DF4">
        <w:rPr>
          <w:lang w:val="en-US"/>
        </w:rPr>
        <w:fldChar w:fldCharType="end"/>
      </w:r>
      <w:r w:rsidRPr="00CF0DF4">
        <w:rPr>
          <w:lang w:val="en-US"/>
        </w:rPr>
        <w:t xml:space="preserve"> </w:t>
      </w:r>
      <w:r w:rsidRPr="00CF0DF4">
        <w:rPr>
          <w:lang w:val="en-US"/>
        </w:rPr>
        <w:lastRenderedPageBreak/>
        <w:t xml:space="preserve">hypothesized a separation of dynamics above and below the melting layer, with a transition region in the melting layer. In agreement with previous observations, ascent would occur above the melting layer and descent below. From </w:t>
      </w:r>
      <w:r w:rsidRPr="00CF0DF4">
        <w:rPr>
          <w:lang w:val="en-US"/>
        </w:rPr>
        <w:fldChar w:fldCharType="begin"/>
      </w:r>
      <w:r w:rsidRPr="00CF0DF4">
        <w:rPr>
          <w:lang w:val="en-US"/>
        </w:rPr>
        <w:instrText xml:space="preserve"> ADDIN ZOTERO_ITEM CSL_CITATION {"citationID":"5VRqmCXD","properties":{"formattedCitation":"(Lin and Stewart 1991)","plainCitation":"(Lin and Stewart 1991)","dontUpdate":true,"noteIndex":0},"citationItems":[{"id":20,"uris":["http://zotero.org/users/8639581/items/MQEAFVZP"],"itemData":{"id":20,"type":"chapter","container-title":"Advances in Geophysics","ISBN":"978-0-12-018833-8","language":"en","note":"DOI: 10.1016/S0065-2687(08)60443-4","page":"267-305","publisher":"Elsevier","source":"DOI.org (Crossref)","title":"Diabatically Forced Mesoscale Circulations in the Atmosphere","URL":"https://linkinghub.elsevier.com/retrieve/pii/S0065268708604434","volume":"33","author":[{"family":"Lin","given":"Charles A."},{"family":"Stewart","given":"Ronald E."}],"accessed":{"date-parts":[["2022",4,13]]},"issued":{"date-parts":[["1991"]]}}}],"schema":"https://github.com/citation-style-language/schema/raw/master/csl-citation.json"} </w:instrText>
      </w:r>
      <w:r w:rsidRPr="00CF0DF4">
        <w:rPr>
          <w:lang w:val="en-US"/>
        </w:rPr>
        <w:fldChar w:fldCharType="separate"/>
      </w:r>
      <w:r w:rsidRPr="00CF0DF4">
        <w:rPr>
          <w:rFonts w:cs="Times New Roman"/>
          <w:lang w:val="en-US"/>
        </w:rPr>
        <w:t>Lin and Stewart (1991)</w:t>
      </w:r>
      <w:r w:rsidRPr="00CF0DF4">
        <w:rPr>
          <w:lang w:val="en-US"/>
        </w:rPr>
        <w:fldChar w:fldCharType="end"/>
      </w:r>
      <w:r w:rsidRPr="00CF0DF4">
        <w:rPr>
          <w:lang w:val="en-US"/>
        </w:rPr>
        <w:t>, updrafts arising from circulations caused by melting may enhance precipitation in saturated environments.</w:t>
      </w:r>
    </w:p>
    <w:p w14:paraId="1F33F9CE" w14:textId="7634E7D8" w:rsidR="00F71C70" w:rsidRPr="00CF0DF4" w:rsidRDefault="00F71C70" w:rsidP="00F71C70">
      <w:pPr>
        <w:pStyle w:val="Body"/>
        <w:rPr>
          <w:lang w:val="en-US"/>
        </w:rPr>
      </w:pPr>
      <w:r w:rsidRPr="00CF0DF4">
        <w:rPr>
          <w:lang w:val="en-US"/>
        </w:rPr>
        <w:t xml:space="preserve">The amount of diabatic cooling associated with the melting layer has been shown to affect frontogenesis. </w:t>
      </w:r>
      <w:r w:rsidRPr="00CF0DF4">
        <w:rPr>
          <w:lang w:val="en-US"/>
        </w:rPr>
        <w:fldChar w:fldCharType="begin"/>
      </w:r>
      <w:r w:rsidRPr="00CF0DF4">
        <w:rPr>
          <w:lang w:val="en-US"/>
        </w:rPr>
        <w:instrText xml:space="preserve"> ADDIN ZOTERO_ITEM CSL_CITATION {"citationID":"rzf66fjF","properties":{"formattedCitation":"(Carbone 1982)","plainCitation":"(Carbone 1982)","dontUpdate":true,"noteIndex":0},"citationItems":[{"id":182,"uris":["http://zotero.org/groups/4663654/items/HBM3TCZA"],"itemData":{"id":182,"type":"article-journal","abstract":"Abstract A narrow cold frontal band of intense precipitation is examined by means of triple Doppler radar and supporting observations. As the band passed through the Central Valley of California, it was accompanied by strong gusty winds, electrical activity, tornadoes and pressure jumps. Part I delineates the stormwide kinematic and thermodynamic structure. A highly two-dimensional pre-frontal updraft of 15–20 m s−1 results primarily from intense planetary boundary layer forcing of a low-level jet by the gravity-current propagation mechanism. Maximum updraft speed occurs at 2.1 km and the maximum radar echo depth is 6.6 km. Diabatic cooling, due to melting hydrometers, is proposed as a likely mechanism for control of gravity current depth and maintenance of density contrast together with synoptic-scale cold air advection. Available convective potential energy is shown to be small and kinetic energy of the environmental vertical wind shear is proposed as a likely source of energy on the updraft scale. Tornadoes develop at Helmholtz type inflectional instabilities along the surface front. Frontal zone horizontal shear, convergence and relative vorticity average 10−2 s−1. The results represent a particularly intense case in a class of storms previously studied by several other investigators. Part II will present the stormwide vorticity structure together with a detailed kinematic analysis of a small-scale vortex which spawns a tornado. Vorticity production terms will be discussed in view of the larger scale context.","container-title":"Journal of the Atmospheric Sciences","DOI":"10.1175/1520-0469(1982)039&lt;0258:ASFRPI&gt;2.0.CO;2","ISSN":"0022-4928, 1520-0469","issue":"2","language":"EN","note":"publisher: American Meteorological Society\nsection: Journal of the Atmospheric Sciences","page":"258-279","source":"journals.ametsoc.org","title":"A Severe Frontal Rainband. Part I. Stormwide Hydrodynamic Structure","volume":"39","author":[{"family":"Carbone","given":"Richard E."}],"issued":{"date-parts":[["1982",2,1]]}}}],"schema":"https://github.com/citation-style-language/schema/raw/master/csl-citation.json"} </w:instrText>
      </w:r>
      <w:r w:rsidRPr="00CF0DF4">
        <w:rPr>
          <w:lang w:val="en-US"/>
        </w:rPr>
        <w:fldChar w:fldCharType="separate"/>
      </w:r>
      <w:r w:rsidRPr="00CF0DF4">
        <w:rPr>
          <w:rFonts w:cs="Times New Roman"/>
          <w:lang w:val="en-US"/>
        </w:rPr>
        <w:t>Carbone (1982)</w:t>
      </w:r>
      <w:r w:rsidRPr="00CF0DF4">
        <w:rPr>
          <w:lang w:val="en-US"/>
        </w:rPr>
        <w:fldChar w:fldCharType="end"/>
      </w:r>
      <w:r w:rsidRPr="00CF0DF4">
        <w:rPr>
          <w:lang w:val="en-US"/>
        </w:rPr>
        <w:t xml:space="preserve"> suggested the diabatic forcing associated with cooling sustained frontogenesis by establishing a resonance with cold air advection and frontal forcing. </w:t>
      </w:r>
      <w:r w:rsidRPr="00CF0DF4">
        <w:rPr>
          <w:lang w:val="en-US"/>
        </w:rPr>
        <w:fldChar w:fldCharType="begin"/>
      </w:r>
      <w:r w:rsidRPr="00CF0DF4">
        <w:rPr>
          <w:lang w:val="en-US"/>
        </w:rPr>
        <w:instrText xml:space="preserve"> ADDIN ZOTERO_ITEM CSL_CITATION {"citationID":"aCloOaxw","properties":{"formattedCitation":"(Szeto and Stewart 1997)","plainCitation":"(Szeto and Stewart 1997)","dontUpdate":true,"noteIndex":0},"citationItems":[{"id":187,"uris":["http://zotero.org/groups/4663654/items/3M48F5KT"],"itemData":{"id":187,"type":"article-journal","abstract":"Abstract Frontal precipitation systems are simulated with a 2D cloud model including ice-phase microphysics. Despite the use of idealized frontogenetic forcing in the simulations, some observed characteristics of frontal zones and their associated cloud and precipitation fields are reproduced in the simulations. The effects of melting snow on surface frontogenesis is investigated. It is found that the cooling effects of melting snow significantly accelerate surface frontogenesis in winter storm environments, especially when the melting layer is close to the surface. However, the steady-state surface frontal strength in the model is not sensitive to the melting effects. Finescale thermal and kinematic perturbations inside the frontal zone near the melting level, quite similar to those recently reported in the literature, are evident in the model results. Analysis of the model results suggests that cooling from melting snow may induce these thermal and kinematic perturbations and may enhance baroclinicity, resulting in accelerating frontogenesis. These frontogenetic effects should be strongest when the melting layer is near the surface, thus explaining the often observed coincidence of surface fronts with the surface rain–snow boundary in winter storms.","container-title":"Journal of the Atmospheric Sciences","DOI":"10.1175/1520-0469(1997)054&lt;0689:EOMOF&gt;2.0.CO;2","ISSN":"0022-4928, 1520-0469","issue":"6","language":"EN","note":"publisher: American Meteorological Society\nsection: Journal of the Atmospheric Sciences","page":"689-702","source":"journals.ametsoc.org","title":"Effects of Melting on Frontogenesis","volume":"54","author":[{"family":"Szeto","given":"K. K."},{"family":"Stewart","given":"R. E."}],"issued":{"date-parts":[["1997",3,1]]}}}],"schema":"https://github.com/citation-style-language/schema/raw/master/csl-citation.json"} </w:instrText>
      </w:r>
      <w:r w:rsidRPr="00CF0DF4">
        <w:rPr>
          <w:lang w:val="en-US"/>
        </w:rPr>
        <w:fldChar w:fldCharType="separate"/>
      </w:r>
      <w:r w:rsidRPr="00CF0DF4">
        <w:rPr>
          <w:rFonts w:cs="Times New Roman"/>
          <w:lang w:val="en-US"/>
        </w:rPr>
        <w:t>Szeto and Stewart (1997)</w:t>
      </w:r>
      <w:r w:rsidRPr="00CF0DF4">
        <w:rPr>
          <w:lang w:val="en-US"/>
        </w:rPr>
        <w:fldChar w:fldCharType="end"/>
      </w:r>
      <w:r w:rsidRPr="00CF0DF4">
        <w:rPr>
          <w:lang w:val="en-US"/>
        </w:rPr>
        <w:t xml:space="preserve"> investigated frontogenesis with a 2D cloud model that contained detailed cloud microphysics to resolve cloud-scale and mesoscale processes. </w:t>
      </w:r>
      <w:proofErr w:type="gramStart"/>
      <w:r w:rsidRPr="00CF0DF4">
        <w:rPr>
          <w:lang w:val="en-US"/>
        </w:rPr>
        <w:t>A positive feedback</w:t>
      </w:r>
      <w:proofErr w:type="gramEnd"/>
      <w:r w:rsidRPr="00CF0DF4">
        <w:rPr>
          <w:lang w:val="en-US"/>
        </w:rPr>
        <w:t xml:space="preserve"> between thermal and dynamic processes was developed. Perturbations enhanced baroclinicity and accelerated frontogenesis when diabatic forcing from latent cooling created a coincidentally located downdraft causing enhanced convergence. Accelerated frontogenesis resulted in stronger updrafts and more snow, causing stronger diabatic forcing due to increased melting snow. The feedback was broken when the enhanced snowfall intensity became decoupled from the frontal forcing. </w:t>
      </w:r>
      <w:r w:rsidR="00765B02" w:rsidRPr="00CF0DF4">
        <w:rPr>
          <w:lang w:val="en-US"/>
        </w:rPr>
        <w:t xml:space="preserve">It should be pointed out that </w:t>
      </w:r>
      <w:r w:rsidRPr="00CF0DF4">
        <w:rPr>
          <w:lang w:val="en-US"/>
        </w:rPr>
        <w:fldChar w:fldCharType="begin"/>
      </w:r>
      <w:r w:rsidRPr="00CF0DF4">
        <w:rPr>
          <w:lang w:val="en-US"/>
        </w:rPr>
        <w:instrText xml:space="preserve"> ADDIN ZOTERO_ITEM CSL_CITATION {"citationID":"x5ZTrwIv","properties":{"formattedCitation":"(Szeto and Stewart 1997)","plainCitation":"(Szeto and Stewart 1997)","dontUpdate":true,"noteIndex":0},"citationItems":[{"id":187,"uris":["http://zotero.org/groups/4663654/items/3M48F5KT"],"itemData":{"id":187,"type":"article-journal","abstract":"Abstract Frontal precipitation systems are simulated with a 2D cloud model including ice-phase microphysics. Despite the use of idealized frontogenetic forcing in the simulations, some observed characteristics of frontal zones and their associated cloud and precipitation fields are reproduced in the simulations. The effects of melting snow on surface frontogenesis is investigated. It is found that the cooling effects of melting snow significantly accelerate surface frontogenesis in winter storm environments, especially when the melting layer is close to the surface. However, the steady-state surface frontal strength in the model is not sensitive to the melting effects. Finescale thermal and kinematic perturbations inside the frontal zone near the melting level, quite similar to those recently reported in the literature, are evident in the model results. Analysis of the model results suggests that cooling from melting snow may induce these thermal and kinematic perturbations and may enhance baroclinicity, resulting in accelerating frontogenesis. These frontogenetic effects should be strongest when the melting layer is near the surface, thus explaining the often observed coincidence of surface fronts with the surface rain–snow boundary in winter storms.","container-title":"Journal of the Atmospheric Sciences","DOI":"10.1175/1520-0469(1997)054&lt;0689:EOMOF&gt;2.0.CO;2","ISSN":"0022-4928, 1520-0469","issue":"6","language":"EN","note":"publisher: American Meteorological Society\nsection: Journal of the Atmospheric Sciences","page":"689-702","source":"journals.ametsoc.org","title":"Effects of Melting on Frontogenesis","volume":"54","author":[{"family":"Szeto","given":"K. K."},{"family":"Stewart","given":"R. E."}],"issued":{"date-parts":[["1997",3,1]]}}}],"schema":"https://github.com/citation-style-language/schema/raw/master/csl-citation.json"} </w:instrText>
      </w:r>
      <w:r w:rsidRPr="00CF0DF4">
        <w:rPr>
          <w:lang w:val="en-US"/>
        </w:rPr>
        <w:fldChar w:fldCharType="separate"/>
      </w:r>
      <w:r w:rsidRPr="00CF0DF4">
        <w:rPr>
          <w:rFonts w:cs="Times New Roman"/>
          <w:lang w:val="en-US"/>
        </w:rPr>
        <w:t>Szeto and Stewart (1997)</w:t>
      </w:r>
      <w:r w:rsidRPr="00CF0DF4">
        <w:rPr>
          <w:lang w:val="en-US"/>
        </w:rPr>
        <w:fldChar w:fldCharType="end"/>
      </w:r>
      <w:r w:rsidRPr="00CF0DF4">
        <w:rPr>
          <w:lang w:val="en-US"/>
        </w:rPr>
        <w:t xml:space="preserve"> identified limitations of the study that included a lack of precipitation-associated diabatic forcing and consequences of a 2D model which may exaggerate frontogenesis. </w:t>
      </w:r>
      <w:r w:rsidRPr="00CF0DF4">
        <w:rPr>
          <w:lang w:val="en-US"/>
        </w:rPr>
        <w:fldChar w:fldCharType="begin"/>
      </w:r>
      <w:r w:rsidRPr="00CF0DF4">
        <w:rPr>
          <w:lang w:val="en-US"/>
        </w:rPr>
        <w:instrText xml:space="preserve"> ADDIN ZOTERO_ITEM CSL_CITATION {"citationID":"KJL8lzFM","properties":{"formattedCitation":"(Joos and Wernli 2012)","plainCitation":"(Joos and Wernli 2012)","dontUpdate":true,"noteIndex":0},"citationItems":[{"id":189,"uris":["http://zotero.org/groups/4663654/items/Z2J8YE9I"],"itemData":{"id":189,"type":"article-journal","abstract":"The potential vorticity (PV) in warm conveyor belts (WCBs) is strongly influenced by the latent heating associated with the various microphysical processes occurring during the formation of clouds. The first-order effect is that PV increases below the level of maximum diabatic heating and decreases above. Thus, the WCB reaches the upper troposphere with low PV values and has the potential to influence the large-scale dynamics. In order to quantify the influence of different microphysical processes on the diabatic heating rates (DHRs) and associated PV development during the ascent, a Lagrangian analysis is used and applied to a regional model simulation of a selected WCB event. First, the individual DHRs caused by the various microphysical processes are calculated with the COSMO model. Then, the DHRs and the associated changes in PV are evaluated along the WCB trajectories. The relative role of the different microphysical processes is quantified for the latent heating and the diabatic PV modification, for which the gradient of the latent heating and the absolute vorticity are crucially important. It is shown that condensation of vapour and depositional growth of snow each contribute </w:instrText>
      </w:r>
      <w:r w:rsidRPr="00CF0DF4">
        <w:rPr>
          <w:rFonts w:ascii="Cambria Math" w:hAnsi="Cambria Math" w:cs="Cambria Math"/>
          <w:lang w:val="en-US"/>
        </w:rPr>
        <w:instrText>∼</w:instrText>
      </w:r>
      <w:r w:rsidRPr="00CF0DF4">
        <w:rPr>
          <w:lang w:val="en-US"/>
        </w:rPr>
        <w:instrText xml:space="preserve">10 K to the total latent heating. However, the diabatic PV modification due to condensation is stronger since it occurs close to the cold frontal low-level maximum of the z-component of the absolute vorticity, </w:instrText>
      </w:r>
      <w:r w:rsidRPr="00CF0DF4">
        <w:rPr>
          <w:rFonts w:cs="Times New Roman"/>
          <w:lang w:val="en-US"/>
        </w:rPr>
        <w:instrText>η</w:instrText>
      </w:r>
      <w:r w:rsidRPr="00CF0DF4">
        <w:rPr>
          <w:lang w:val="en-US"/>
        </w:rPr>
        <w:instrText xml:space="preserve">z, whereas a similar heating rate gradient caused by depositional growth of snow modifies the PV much less since it occurs in a region with much weaker ηz. This highlights the importance of ηz for determining the PV modification due to a certain diabatic heating rate. Furthermore, cooling processes like the evaporation of rain, also co-occurring with high ηz near the surface cold front, have the potential to strongly modify the PV below the WCB. Copyright © 2011 Royal Meteorological Society","container-title":"Quarterly Journal of the Royal Meteorological Society","DOI":"10.1002/qj.934","ISSN":"1477-870X","issue":"663","language":"en","note":"_eprint: https://onlinelibrary.wiley.com/doi/pdf/10.1002/qj.934","page":"407-418","source":"Wiley Online Library","title":"Influence of microphysical processes on the potential vorticity development in a warm conveyor belt: a case-study with the limited-area model COSMO","title-short":"Influence of microphysical processes on the potential vorticity development in a warm conveyor belt","volume":"138","author":[{"family":"Joos","given":"H."},{"family":"Wernli","given":"H."}],"issued":{"date-parts":[["2012"]]}}}],"schema":"https://github.com/citation-style-language/schema/raw/master/csl-citation.json"} </w:instrText>
      </w:r>
      <w:r w:rsidRPr="00CF0DF4">
        <w:rPr>
          <w:lang w:val="en-US"/>
        </w:rPr>
        <w:fldChar w:fldCharType="separate"/>
      </w:r>
      <w:r w:rsidRPr="00CF0DF4">
        <w:rPr>
          <w:rFonts w:cs="Times New Roman"/>
          <w:lang w:val="en-US"/>
        </w:rPr>
        <w:t>Joos and Wernli (2012)</w:t>
      </w:r>
      <w:r w:rsidRPr="00CF0DF4">
        <w:rPr>
          <w:lang w:val="en-US"/>
        </w:rPr>
        <w:fldChar w:fldCharType="end"/>
      </w:r>
      <w:r w:rsidRPr="00CF0DF4">
        <w:rPr>
          <w:lang w:val="en-US"/>
        </w:rPr>
        <w:t xml:space="preserve"> budgeted potential vorticity contributors in warm conveyor belts, which is located just ahead of the surface cold front. Consistent with previous studies, they found air parcels gain potential vorticity above the diabatic cooling region. </w:t>
      </w:r>
      <w:r w:rsidRPr="00CF0DF4">
        <w:rPr>
          <w:lang w:val="en-US"/>
        </w:rPr>
        <w:fldChar w:fldCharType="begin"/>
      </w:r>
      <w:r w:rsidRPr="00CF0DF4">
        <w:rPr>
          <w:lang w:val="en-US"/>
        </w:rPr>
        <w:instrText xml:space="preserve"> ADDIN ZOTERO_ITEM CSL_CITATION {"citationID":"toDYlsZ2","properties":{"formattedCitation":"(Igel and van den Heever 2014)","plainCitation":"(Igel and van den Heever 2014)","dontUpdate":true,"noteIndex":0},"citationItems":[{"id":18,"uris":["http://zotero.org/users/8639581/items/WNCKH7ZD"],"itemData":{"id":18,"type":"article-journal","container-title":"Quarterly Journal of the Royal Meteorological Society","DOI":"10.1002/qj.2118","ISSN":"00359009","issue":"678","journalAbbreviation":"Q.J.R. Meteorol. Soc.","language":"en","page":"139-150","source":"DOI.org (Crossref)","title":"The role of latent heating in warm frontogenesis: The Role of Latent Heating in Warm Frontogenesis","title-short":"The role of latent heating in warm frontogenesis","volume":"140","author":[{"family":"Igel","given":"Adele L."},{"family":"Heever","given":"Susan C.","non-dropping-particle":"van den"}],"issued":{"date-parts":[["2014",1]]}}}],"schema":"https://github.com/citation-style-language/schema/raw/master/csl-citation.json"} </w:instrText>
      </w:r>
      <w:r w:rsidRPr="00CF0DF4">
        <w:rPr>
          <w:lang w:val="en-US"/>
        </w:rPr>
        <w:fldChar w:fldCharType="separate"/>
      </w:r>
      <w:r w:rsidRPr="00CF0DF4">
        <w:rPr>
          <w:rFonts w:cs="Times New Roman"/>
          <w:lang w:val="en-US"/>
        </w:rPr>
        <w:t>Igel and van den Heever (2014)</w:t>
      </w:r>
      <w:r w:rsidRPr="00CF0DF4">
        <w:rPr>
          <w:lang w:val="en-US"/>
        </w:rPr>
        <w:fldChar w:fldCharType="end"/>
      </w:r>
      <w:r w:rsidRPr="00CF0DF4">
        <w:rPr>
          <w:lang w:val="en-US"/>
        </w:rPr>
        <w:t xml:space="preserve"> investigated latent heating effects on warm frontogenesis. While melting was the largest source of latent cooling and led to a separation of dynamics, it was also largely balanced out by latent heating from condensation and cloud droplet </w:t>
      </w:r>
      <w:r w:rsidRPr="00CF0DF4">
        <w:rPr>
          <w:lang w:val="en-US"/>
        </w:rPr>
        <w:lastRenderedPageBreak/>
        <w:t>nucleation. These patterns were consistent for warm season warm fronts, but different relationships may arise in other situations.</w:t>
      </w:r>
    </w:p>
    <w:p w14:paraId="2803213D" w14:textId="180EB339" w:rsidR="00F71C70" w:rsidRPr="00CF0DF4" w:rsidRDefault="00F71C70" w:rsidP="00F71C70">
      <w:pPr>
        <w:pStyle w:val="Body"/>
        <w:rPr>
          <w:lang w:val="en-US"/>
        </w:rPr>
      </w:pPr>
      <w:r w:rsidRPr="00CF0DF4">
        <w:rPr>
          <w:lang w:val="en-US"/>
        </w:rPr>
        <w:fldChar w:fldCharType="begin"/>
      </w:r>
      <w:r w:rsidRPr="00CF0DF4">
        <w:rPr>
          <w:lang w:val="en-US"/>
        </w:rPr>
        <w:instrText xml:space="preserve"> ADDIN ZOTERO_ITEM CSL_CITATION {"citationID":"BVAITbCz","properties":{"formattedCitation":"(Kain et al. 2000)","plainCitation":"(Kain et al. 2000)","dontUpdate":true,"noteIndex":0},"citationItems":[{"id":136,"uris":["http://zotero.org/groups/4663654/items/RY7JA58D"],"itemData":{"id":136,"type":"article-journal","abstract":"Abstract The process of atmospheric cooling due to melting precipitation is examined to evaluate its contribution to determining precipitation type. The “melting effect” is typically of second-order importance compared to other processes that influence the lower-tropospheric air temperature and hence the type of precipitation that reaches the ground. In some cases, however, cooling due to melting snowflakes can emerge as the dominant agent of temperature change, occasionally surprising forecasters (and the public) by inducing an unexpected changeover from rain to heavy snow. One such case occurred on 3–4 February 1998 in east-central Tennessee and surrounding areas. Commonly applied considerations for predicting precipitation type had convinced forecasters that significant snowfall was not likely with this event. However, real-time observations and a postevent analysis by forecasters at the Storm Prediction Center led to the hypothesis that the melting effect must have provided the cooling necessary to allow widespread heavy snowfall. To test this hypothesis, the Pennsylvania State University–NCAR Mesoscale Model was used to generate a mesoscale-resolution, four-dimensional dataset for this event. Diagnostic analysis of the model output confirmed that cooling due to melting snowflakes was of a sufficient magnitude to account for the disparity between observed and forecasted lower-tropospheric temperatures in this case. A simple formula is derived to provide a “rule of thumb” for anticipating the potential impact of the melting effect. In addition, guidelines are provided for identifying meteorological patterns that favor a predominance of the melting effect.","container-title":"Weather and Forecasting","DOI":"10.1175/1520-0434(2000)015&lt;0700:TMEAAF&gt;2.0.CO;2","ISSN":"1520-0434, 0882-8156","issue":"6","language":"EN","note":"publisher: American Meteorological Society\nsection: Weather and Forecasting","page":"700-714","source":"journals.ametsoc.org","title":"The Melting Effect as a Factor in Precipitation-Type Forecasting","volume":"15","author":[{"family":"Kain","given":"John S."},{"family":"Goss","given":"Stephen M."},{"family":"Baldwin","given":"Michael E."}],"issued":{"date-parts":[["2000",12,1]]}}}],"schema":"https://github.com/citation-style-language/schema/raw/master/csl-citation.json"} </w:instrText>
      </w:r>
      <w:r w:rsidRPr="00CF0DF4">
        <w:rPr>
          <w:lang w:val="en-US"/>
        </w:rPr>
        <w:fldChar w:fldCharType="separate"/>
      </w:r>
      <w:r w:rsidRPr="00CF0DF4">
        <w:rPr>
          <w:rFonts w:cs="Times New Roman"/>
          <w:lang w:val="en-US"/>
        </w:rPr>
        <w:t>Kain et al. (2000)</w:t>
      </w:r>
      <w:r w:rsidRPr="00CF0DF4">
        <w:rPr>
          <w:lang w:val="en-US"/>
        </w:rPr>
        <w:fldChar w:fldCharType="end"/>
      </w:r>
      <w:r w:rsidRPr="00CF0DF4">
        <w:rPr>
          <w:lang w:val="en-US"/>
        </w:rPr>
        <w:t xml:space="preserve"> showed implications of melting layer processes on forecasting precipitation type at the surface. </w:t>
      </w:r>
      <w:r w:rsidR="00FA24D0" w:rsidRPr="00CF0DF4">
        <w:rPr>
          <w:lang w:val="en-US"/>
        </w:rPr>
        <w:t>They studied a case where m</w:t>
      </w:r>
      <w:r w:rsidRPr="00CF0DF4">
        <w:rPr>
          <w:lang w:val="en-US"/>
        </w:rPr>
        <w:t xml:space="preserve">elting-induced cooling </w:t>
      </w:r>
      <w:r w:rsidR="00FA24D0" w:rsidRPr="00CF0DF4">
        <w:rPr>
          <w:lang w:val="en-US"/>
        </w:rPr>
        <w:t>led</w:t>
      </w:r>
      <w:r w:rsidRPr="00CF0DF4">
        <w:rPr>
          <w:lang w:val="en-US"/>
        </w:rPr>
        <w:t xml:space="preserve"> to an unexpected transition from rain to heavy snow, which resulted in a poorly forecasted event that had a significant societal impact. Surface observations showed</w:t>
      </w:r>
      <w:r w:rsidR="0069390E" w:rsidRPr="00CF0DF4">
        <w:rPr>
          <w:lang w:val="en-US"/>
        </w:rPr>
        <w:t xml:space="preserve"> that </w:t>
      </w:r>
      <w:r w:rsidRPr="00CF0DF4">
        <w:rPr>
          <w:lang w:val="en-US"/>
        </w:rPr>
        <w:t>temperatures only fell in areas of persistent precipitation and never decreased below 0 °C. Snow melting led to the rapid temperature decrease at the surface and the transition from rain to snow. An improved understanding of the microphysical processes in the melting layer of precipitating clouds can lead to improved forecasting of such events.</w:t>
      </w:r>
    </w:p>
    <w:p w14:paraId="1B1EECFD" w14:textId="398255E9" w:rsidR="00F71C70" w:rsidRPr="00CF0DF4" w:rsidRDefault="00F71C70" w:rsidP="00F71C70">
      <w:pPr>
        <w:pStyle w:val="Heading2"/>
        <w:rPr>
          <w:lang w:val="en-US"/>
        </w:rPr>
      </w:pPr>
      <w:bookmarkStart w:id="14" w:name="_Toc102411882"/>
      <w:bookmarkStart w:id="15" w:name="_Toc109123095"/>
      <w:r w:rsidRPr="00CF0DF4">
        <w:rPr>
          <w:lang w:val="en-US"/>
        </w:rPr>
        <w:t>1.2 Radar Observations</w:t>
      </w:r>
      <w:bookmarkEnd w:id="14"/>
      <w:r w:rsidR="0069390E" w:rsidRPr="00CF0DF4">
        <w:rPr>
          <w:lang w:val="en-US"/>
        </w:rPr>
        <w:t xml:space="preserve"> of the Melting Layer</w:t>
      </w:r>
      <w:bookmarkEnd w:id="15"/>
    </w:p>
    <w:p w14:paraId="0C7678DC" w14:textId="496564B2" w:rsidR="00F71C70" w:rsidRPr="00CF0DF4" w:rsidRDefault="00F71C70" w:rsidP="00F71C70">
      <w:pPr>
        <w:pStyle w:val="Body"/>
        <w:rPr>
          <w:lang w:val="en-US"/>
        </w:rPr>
      </w:pPr>
      <w:r w:rsidRPr="00CF0DF4">
        <w:rPr>
          <w:lang w:val="en-US"/>
        </w:rPr>
        <w:t>Many previous studies have analyzed the melting layer using radar observations. Radars observe a bright band signal caused by an increase of radar reflectivity</w:t>
      </w:r>
      <w:r w:rsidR="0069390E" w:rsidRPr="00CF0DF4">
        <w:rPr>
          <w:lang w:val="en-US"/>
        </w:rPr>
        <w:t xml:space="preserve"> by up to about 10 </w:t>
      </w:r>
      <w:proofErr w:type="spellStart"/>
      <w:r w:rsidR="0069390E" w:rsidRPr="00CF0DF4">
        <w:rPr>
          <w:lang w:val="en-US"/>
        </w:rPr>
        <w:t>dBZ</w:t>
      </w:r>
      <w:proofErr w:type="spellEnd"/>
      <w:r w:rsidRPr="00CF0DF4">
        <w:rPr>
          <w:lang w:val="en-US"/>
        </w:rPr>
        <w:t xml:space="preserve"> due to hydrometeor melting. </w:t>
      </w:r>
      <w:r w:rsidRPr="00CF0DF4">
        <w:rPr>
          <w:lang w:val="en-US"/>
        </w:rPr>
        <w:fldChar w:fldCharType="begin"/>
      </w:r>
      <w:r w:rsidRPr="00CF0DF4">
        <w:rPr>
          <w:lang w:val="en-US"/>
        </w:rPr>
        <w:instrText xml:space="preserve"> ADDIN ZOTERO_ITEM CSL_CITATION {"citationID":"usDZRPyt","properties":{"formattedCitation":"(Stewart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found the location of the bright band maximum to be at 2 °C, which varied from 250</w:t>
      </w:r>
      <w:r w:rsidR="0069390E" w:rsidRPr="00CF0DF4">
        <w:rPr>
          <w:lang w:val="en-US"/>
        </w:rPr>
        <w:t xml:space="preserve"> m to </w:t>
      </w:r>
      <w:r w:rsidRPr="00CF0DF4">
        <w:rPr>
          <w:lang w:val="en-US"/>
        </w:rPr>
        <w:t xml:space="preserve">300 m below the top of the melting layer. Rainfall rate determines the </w:t>
      </w:r>
      <w:r w:rsidR="00163A7D" w:rsidRPr="00CF0DF4">
        <w:rPr>
          <w:lang w:val="en-US"/>
        </w:rPr>
        <w:t xml:space="preserve">relative </w:t>
      </w:r>
      <w:r w:rsidRPr="00CF0DF4">
        <w:rPr>
          <w:lang w:val="en-US"/>
        </w:rPr>
        <w:t xml:space="preserve">magnitude of the bright band </w:t>
      </w:r>
      <w:r w:rsidRPr="00CF0DF4">
        <w:rPr>
          <w:lang w:val="en-US"/>
        </w:rPr>
        <w:fldChar w:fldCharType="begin"/>
      </w:r>
      <w:r w:rsidRPr="00CF0DF4">
        <w:rPr>
          <w:lang w:val="en-US"/>
        </w:rPr>
        <w:instrText xml:space="preserve"> ADDIN ZOTERO_ITEM CSL_CITATION {"citationID":"GnbMnC9k","properties":{"formattedCitation":"(Fabry and Zawadzki 1995; Kain et al. 2000)","plainCitation":"(Fabry and Zawadzki 1995; Kain et al. 2000)","noteIndex":0},"citationItems":[{"id":70,"uris":["http://zotero.org/users/8639581/items/KHF8HN24"],"itemData":{"id":70,"type":"article-journal","abstract":"Abstract In this study, 600 h of vertically pointing X-band radar data and 50 h of UHF boundary layer wind profiler data were processed and analyzed to characterize quantitatively the structure and the causes of the radar signature from melting precipitation. Five classes of vertical profiles of reflectivity in rain were identified, with three of them having precipitation undergoing a transition between the solid and liquid phase. Only one of them, albeit the most common, showed a radar brightband signature. In-depth study of the bright band and its dependence on precipitation intensity reveals that the ratio of the brightband peak reflectivity to the rainfall reflectivity is constant at 8 dB below 0.5 mm h−1 and then increases to reach 13 dB at 2.5 mm h−1 and 16 dB at 5 mm h−1. The equivalent reflectivity factor of snow just above the melting layer is on average 1–2 dB below the reflectivity of rain just below the melting layer, independent of precipitation intensity. The classical brightband explanation accounts for less than half of the observed reflectivity enhancement; the difference could be explained by effects associated with the shape and density of melting snowflakes and, to a smaller extent, by precipitation growth in the melting layer and aggregation in the early stages of the melting followed by breakup in the final stages. The brightband statistics were also significantly different for reflectivities in rain above 2.5 dBZ when observations were made with an X-band radar as opposed to the wind profiler because of the combination of attenuation in the melting layer and the fact that scattering from some of the large hydrometers above and within the melting layer depart from the Rayleigh approximation usually used to compute reflectivity. The bright band is often capped by a thin and faint dark layer, which tends to be more evident at weak precipitation intensifies.","container-title":"Journal of the Atmospheric Sciences","DOI":"10.1175/1520-0469(1995)052&lt;0838:LTROOT&gt;2.0.CO;2","ISSN":"0022-4928, 1520-0469","issue":"7","language":"EN","page":"838-851","source":"journals.ametsoc.org","title":"Long-Term Radar Observations of the Melting Layer of Precipitation and Their Interpretation","volume":"52","author":[{"family":"Fabry","given":"Frederic"},{"family":"Zawadzki","given":"Isztar"}],"issued":{"date-parts":[["1995",4,1]]}}},{"id":136,"uris":["http://zotero.org/groups/4663654/items/RY7JA58D"],"itemData":{"id":136,"type":"article-journal","abstract":"Abstract The process of atmospheric cooling due to melting precipitation is examined to evaluate its contribution to determining precipitation type. The “melting effect” is typically of second-order importance compared to other processes that influence the lower-tropospheric air temperature and hence the type of precipitation that reaches the ground. In some cases, however, cooling due to melting snowflakes can emerge as the dominant agent of temperature change, occasionally surprising forecasters (and the public) by inducing an unexpected changeover from rain to heavy snow. One such case occurred on 3–4 February 1998 in east-central Tennessee and surrounding areas. Commonly applied considerations for predicting precipitation type had convinced forecasters that significant snowfall was not likely with this event. However, real-time observations and a postevent analysis by forecasters at the Storm Prediction Center led to the hypothesis that the melting effect must have provided the cooling necessary to allow widespread heavy snowfall. To test this hypothesis, the Pennsylvania State University–NCAR Mesoscale Model was used to generate a mesoscale-resolution, four-dimensional dataset for this event. Diagnostic analysis of the model output confirmed that cooling due to melting snowflakes was of a sufficient magnitude to account for the disparity between observed and forecasted lower-tropospheric temperatures in this case. A simple formula is derived to provide a “rule of thumb” for anticipating the potential impact of the melting effect. In addition, guidelines are provided for identifying meteorological patterns that favor a predominance of the melting effect.","container-title":"Weather and Forecasting","DOI":"10.1175/1520-0434(2000)015&lt;0700:TMEAAF&gt;2.0.CO;2","ISSN":"1520-0434, 0882-8156","issue":"6","language":"EN","note":"publisher: American Meteorological Society\nsection: Weather and Forecasting","page":"700-714","source":"journals.ametsoc.org","title":"The Melting Effect as a Factor in Precipitation-Type Forecasting","volume":"15","author":[{"family":"Kain","given":"John S."},{"family":"Goss","given":"Stephen M."},{"family":"Baldwin","given":"Michael E."}],"issued":{"date-parts":[["2000",12,1]]}}}],"schema":"https://github.com/citation-style-language/schema/raw/master/csl-citation.json"} </w:instrText>
      </w:r>
      <w:r w:rsidRPr="00CF0DF4">
        <w:rPr>
          <w:lang w:val="en-US"/>
        </w:rPr>
        <w:fldChar w:fldCharType="separate"/>
      </w:r>
      <w:r w:rsidRPr="00CF0DF4">
        <w:rPr>
          <w:rFonts w:cs="Times New Roman"/>
          <w:lang w:val="en-US"/>
        </w:rPr>
        <w:t>(Fabry and Zawadzki 1995; Kain et al. 2000)</w:t>
      </w:r>
      <w:r w:rsidRPr="00CF0DF4">
        <w:rPr>
          <w:lang w:val="en-US"/>
        </w:rPr>
        <w:fldChar w:fldCharType="end"/>
      </w:r>
      <w:r w:rsidRPr="00CF0DF4">
        <w:rPr>
          <w:lang w:val="en-US"/>
        </w:rPr>
        <w:t xml:space="preserve"> and its </w:t>
      </w:r>
      <w:r w:rsidR="00163A7D" w:rsidRPr="00CF0DF4">
        <w:rPr>
          <w:lang w:val="en-US"/>
        </w:rPr>
        <w:t xml:space="preserve">vertical </w:t>
      </w:r>
      <w:r w:rsidRPr="00CF0DF4">
        <w:rPr>
          <w:lang w:val="en-US"/>
        </w:rPr>
        <w:t xml:space="preserve">width </w:t>
      </w:r>
      <w:r w:rsidRPr="00CF0DF4">
        <w:rPr>
          <w:lang w:val="en-US"/>
        </w:rPr>
        <w:fldChar w:fldCharType="begin"/>
      </w:r>
      <w:r w:rsidRPr="00CF0DF4">
        <w:rPr>
          <w:lang w:val="en-US"/>
        </w:rPr>
        <w:instrText xml:space="preserve"> ADDIN ZOTERO_ITEM CSL_CITATION {"citationID":"3gMo7Hin","properties":{"formattedCitation":"(Klaassen 1988)","plainCitation":"(Klaassen 1988)","noteIndex":0},"citationItems":[{"id":65,"uris":["http://zotero.org/users/8639581/items/24E3TB7V"],"itemData":{"id":65,"type":"article-journal","container-title":"Journal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Precipitation","volume":"45","author":[{"family":"Klaassen","given":"Wim"}],"issued":{"date-parts":[["1988",12]]}}}],"schema":"https://github.com/citation-style-language/schema/raw/master/csl-citation.json"} </w:instrText>
      </w:r>
      <w:r w:rsidRPr="00CF0DF4">
        <w:rPr>
          <w:lang w:val="en-US"/>
        </w:rPr>
        <w:fldChar w:fldCharType="separate"/>
      </w:r>
      <w:r w:rsidRPr="00CF0DF4">
        <w:rPr>
          <w:rFonts w:cs="Times New Roman"/>
          <w:lang w:val="en-US"/>
        </w:rPr>
        <w:t>(Klaassen 1988)</w:t>
      </w:r>
      <w:r w:rsidRPr="00CF0DF4">
        <w:rPr>
          <w:lang w:val="en-US"/>
        </w:rPr>
        <w:fldChar w:fldCharType="end"/>
      </w:r>
      <w:r w:rsidRPr="00CF0DF4">
        <w:rPr>
          <w:lang w:val="en-US"/>
        </w:rPr>
        <w:t xml:space="preserve">. The width of the bright band increases with higher rain intensity due to a deeper isothermal layer </w:t>
      </w:r>
      <w:r w:rsidRPr="00CF0DF4">
        <w:rPr>
          <w:lang w:val="en-US"/>
        </w:rPr>
        <w:fldChar w:fldCharType="begin"/>
      </w:r>
      <w:r w:rsidRPr="00CF0DF4">
        <w:rPr>
          <w:lang w:val="en-US"/>
        </w:rPr>
        <w:instrText xml:space="preserve"> ADDIN ZOTERO_ITEM CSL_CITATION {"citationID":"ta2fxav8","properties":{"formattedCitation":"(Klaassen 1988)","plainCitation":"(Klaassen 1988)","noteIndex":0},"citationItems":[{"id":65,"uris":["http://zotero.org/users/8639581/items/24E3TB7V"],"itemData":{"id":65,"type":"article-journal","container-title":"Journal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Precipitation","volume":"45","author":[{"family":"Klaassen","given":"Wim"}],"issued":{"date-parts":[["1988",12]]}}}],"schema":"https://github.com/citation-style-language/schema/raw/master/csl-citation.json"} </w:instrText>
      </w:r>
      <w:r w:rsidRPr="00CF0DF4">
        <w:rPr>
          <w:lang w:val="en-US"/>
        </w:rPr>
        <w:fldChar w:fldCharType="separate"/>
      </w:r>
      <w:r w:rsidRPr="00CF0DF4">
        <w:rPr>
          <w:rFonts w:cs="Times New Roman"/>
          <w:lang w:val="en-US"/>
        </w:rPr>
        <w:t>(Klaassen 1988)</w:t>
      </w:r>
      <w:r w:rsidRPr="00CF0DF4">
        <w:rPr>
          <w:lang w:val="en-US"/>
        </w:rPr>
        <w:fldChar w:fldCharType="end"/>
      </w:r>
      <w:r w:rsidRPr="00CF0DF4">
        <w:rPr>
          <w:lang w:val="en-US"/>
        </w:rPr>
        <w:t>.</w:t>
      </w:r>
    </w:p>
    <w:p w14:paraId="38074652" w14:textId="6CE7EA6B" w:rsidR="00F71C70" w:rsidRPr="00CF0DF4" w:rsidRDefault="00F71C70" w:rsidP="00F71C70">
      <w:pPr>
        <w:pStyle w:val="Body"/>
        <w:rPr>
          <w:lang w:val="en-US"/>
        </w:rPr>
      </w:pPr>
      <w:r w:rsidRPr="00CF0DF4">
        <w:rPr>
          <w:lang w:val="en-US"/>
        </w:rPr>
        <w:fldChar w:fldCharType="begin"/>
      </w:r>
      <w:r w:rsidRPr="00CF0DF4">
        <w:rPr>
          <w:lang w:val="en-US"/>
        </w:rPr>
        <w:instrText xml:space="preserve"> ADDIN ZOTERO_ITEM CSL_CITATION {"citationID":"irF7SSfq","properties":{"formattedCitation":"(Austin and Bemis 1950)","plainCitation":"(Austin and Bemis 1950)","dontUpdate":true,"noteIndex":0},"citationItems":[{"id":194,"uris":["http://zotero.org/groups/4663654/items/93MLKHHR"],"itemData":{"id":194,"type":"article-journal","abstract":"Abstract Observations and measurements of the bright band in radar echoes are presented. It is shown that the theory of coalescence and melting of snowflakes provides an adequate explanation of the phenomenon.","container-title":"Journal of the Atmospheric Sciences","DOI":"10.1175/1520-0469(1950)007&lt;0145:AQSOTB&gt;2.0.CO;2","ISSN":"1520-0469","issue":"2","language":"EN","note":"publisher: American Meteorological Society\nsection: Journal of the Atmospheric Sciences","page":"145-151","source":"journals.ametsoc.org","title":"A QUANTITATIVE STUDY OF THE “BRIGHT BAND” IN RADAR PRECIPITATION ECHOES","volume":"7","author":[{"family":"Austin","given":"Pauline M."},{"family":"Bemis","given":"Alan C."}],"issued":{"date-parts":[["1950",4,1]]}}}],"schema":"https://github.com/citation-style-language/schema/raw/master/csl-citation.json"} </w:instrText>
      </w:r>
      <w:r w:rsidRPr="00CF0DF4">
        <w:rPr>
          <w:lang w:val="en-US"/>
        </w:rPr>
        <w:fldChar w:fldCharType="separate"/>
      </w:r>
      <w:r w:rsidRPr="00CF0DF4">
        <w:rPr>
          <w:rFonts w:cs="Times New Roman"/>
          <w:lang w:val="en-US"/>
        </w:rPr>
        <w:t>Austin and Bemis (1950)</w:t>
      </w:r>
      <w:r w:rsidRPr="00CF0DF4">
        <w:rPr>
          <w:lang w:val="en-US"/>
        </w:rPr>
        <w:fldChar w:fldCharType="end"/>
      </w:r>
      <w:r w:rsidRPr="00CF0DF4">
        <w:rPr>
          <w:lang w:val="en-US"/>
        </w:rPr>
        <w:t xml:space="preserve"> first proposed that the cause of the bright band was due to coalescence (aggregation) and melting of snowflakes. However, </w:t>
      </w:r>
      <w:r w:rsidRPr="00CF0DF4">
        <w:rPr>
          <w:lang w:val="en-US"/>
        </w:rPr>
        <w:fldChar w:fldCharType="begin"/>
      </w:r>
      <w:r w:rsidRPr="00CF0DF4">
        <w:rPr>
          <w:lang w:val="en-US"/>
        </w:rPr>
        <w:instrText xml:space="preserve"> ADDIN ZOTERO_ITEM CSL_CITATION {"citationID":"XhlEuhTP","properties":{"formattedCitation":"(Battan 1973)","plainCitation":"(Battan 1973)","dontUpdate":true,"noteIndex":0},"citationItems":[{"id":197,"uris":["http://zotero.org/groups/4663654/items/W97QDSS6"],"itemData":{"id":197,"type":"article-journal","container-title":"University of Chicago Press","DOI":"10.1002/qj.49709942229","ISSN":"1477-870X","language":"en","note":"_eprint: https://onlinelibrary.wiley.com/doi/pdf/10.1002/qj.49709942229","page":"324","source":"Wiley Online Library","title":"Radar observation of the atmosphere","author":[{"family":"Battan","given":"L"}],"issued":{"date-parts":[["1973"]]}}}],"schema":"https://github.com/citation-style-language/schema/raw/master/csl-citation.json"} </w:instrText>
      </w:r>
      <w:r w:rsidRPr="00CF0DF4">
        <w:rPr>
          <w:lang w:val="en-US"/>
        </w:rPr>
        <w:fldChar w:fldCharType="separate"/>
      </w:r>
      <w:r w:rsidRPr="00CF0DF4">
        <w:rPr>
          <w:rFonts w:cs="Times New Roman"/>
          <w:lang w:val="en-US"/>
        </w:rPr>
        <w:t>Battan (1973)</w:t>
      </w:r>
      <w:r w:rsidRPr="00CF0DF4">
        <w:rPr>
          <w:lang w:val="en-US"/>
        </w:rPr>
        <w:fldChar w:fldCharType="end"/>
      </w:r>
      <w:r w:rsidRPr="00CF0DF4">
        <w:rPr>
          <w:lang w:val="en-US"/>
        </w:rPr>
        <w:t xml:space="preserve"> concluded the increase in radar reflectivity is due to a sharp increase in the dielectric constant when </w:t>
      </w:r>
      <w:r w:rsidR="00781424">
        <w:rPr>
          <w:lang w:val="en-US"/>
        </w:rPr>
        <w:t>hydrometeors</w:t>
      </w:r>
      <w:r w:rsidRPr="00CF0DF4">
        <w:rPr>
          <w:lang w:val="en-US"/>
        </w:rPr>
        <w:t xml:space="preserve"> begin to melt. Below the bright band peak, partially melted snowflakes shrink </w:t>
      </w:r>
      <w:r w:rsidR="00B82218" w:rsidRPr="00CF0DF4">
        <w:rPr>
          <w:lang w:val="en-US"/>
        </w:rPr>
        <w:t>causing</w:t>
      </w:r>
      <w:r w:rsidRPr="00CF0DF4">
        <w:rPr>
          <w:lang w:val="en-US"/>
        </w:rPr>
        <w:t xml:space="preserve"> a decrease in reflectivity, which eventually matches</w:t>
      </w:r>
      <w:r w:rsidR="00163A7D" w:rsidRPr="00CF0DF4">
        <w:rPr>
          <w:lang w:val="en-US"/>
        </w:rPr>
        <w:t xml:space="preserve"> that of</w:t>
      </w:r>
      <w:r w:rsidRPr="00CF0DF4">
        <w:rPr>
          <w:lang w:val="en-US"/>
        </w:rPr>
        <w:t xml:space="preserve"> the rain falling below the melting layer. </w:t>
      </w:r>
      <w:r w:rsidRPr="00CF0DF4">
        <w:rPr>
          <w:lang w:val="en-US"/>
        </w:rPr>
        <w:fldChar w:fldCharType="begin"/>
      </w:r>
      <w:r w:rsidRPr="00CF0DF4">
        <w:rPr>
          <w:lang w:val="en-US"/>
        </w:rPr>
        <w:instrText xml:space="preserve"> ADDIN ZOTERO_ITEM CSL_CITATION {"citationID":"ck7v8Ucs","properties":{"formattedCitation":"(Willis and Heymsfield 1989)","plainCitation":"(Willis and Heymsfield 1989)","dontUpdate":true,"noteIndex":0},"citationItems":[{"id":125,"uris":["http://zotero.org/groups/4663654/items/4U3A5ASG"],"itemData":{"id":125,"type":"article-journal","abstract":"Abstract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J."}],"issued":{"date-parts":[["1989",7,1]]}}}],"schema":"https://github.com/citation-style-language/schema/raw/master/csl-citation.json"} </w:instrText>
      </w:r>
      <w:r w:rsidRPr="00CF0DF4">
        <w:rPr>
          <w:lang w:val="en-US"/>
        </w:rPr>
        <w:fldChar w:fldCharType="separate"/>
      </w:r>
      <w:r w:rsidRPr="00CF0DF4">
        <w:rPr>
          <w:rFonts w:cs="Times New Roman"/>
          <w:lang w:val="en-US"/>
        </w:rPr>
        <w:t xml:space="preserve">Willis and </w:t>
      </w:r>
      <w:r w:rsidRPr="00CF0DF4">
        <w:rPr>
          <w:rFonts w:cs="Times New Roman"/>
          <w:lang w:val="en-US"/>
        </w:rPr>
        <w:lastRenderedPageBreak/>
        <w:t>Heymsfield (1989)</w:t>
      </w:r>
      <w:r w:rsidRPr="00CF0DF4">
        <w:rPr>
          <w:lang w:val="en-US"/>
        </w:rPr>
        <w:fldChar w:fldCharType="end"/>
      </w:r>
      <w:r w:rsidRPr="00CF0DF4">
        <w:rPr>
          <w:lang w:val="en-US"/>
        </w:rPr>
        <w:t xml:space="preserve"> concluded that large aggregates that initially survive in the melting layer before fully melting were responsible for the bright band. More recent studies have since suggested the increase in dielectric constant cannot sufficiently explain the magnitude of the bright band (e.g., </w:t>
      </w:r>
      <w:r w:rsidRPr="00CF0DF4">
        <w:rPr>
          <w:lang w:val="en-US"/>
        </w:rPr>
        <w:fldChar w:fldCharType="begin"/>
      </w:r>
      <w:r w:rsidRPr="00CF0DF4">
        <w:rPr>
          <w:lang w:val="en-US"/>
        </w:rPr>
        <w:instrText xml:space="preserve"> ADDIN ZOTERO_ITEM CSL_CITATION {"citationID":"OGdNpIqS","properties":{"formattedCitation":"(Klaassen 1988; Fabry and Zawadzki 1995; Heymsfield et al. 2015)","plainCitation":"(Klaassen 1988; Fabry and Zawadzki 1995; Heymsfield et al. 2015)","dontUpdate":true,"noteIndex":0},"citationItems":[{"id":65,"uris":["http://zotero.org/users/8639581/items/24E3TB7V"],"itemData":{"id":65,"type":"article-journal","container-title":"Journal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Precipitation","volume":"45","author":[{"family":"Klaassen","given":"Wim"}],"issued":{"date-parts":[["1988",12]]}}},{"id":70,"uris":["http://zotero.org/users/8639581/items/KHF8HN24"],"itemData":{"id":70,"type":"article-journal","abstract":"Abstract In this study, 600 h of vertically pointing X-band radar data and 50 h of UHF boundary layer wind profiler data were processed and analyzed to characterize quantitatively the structure and the causes of the radar signature from melting precipitation. Five classes of vertical profiles of reflectivity in rain were identified, with three of them having precipitation undergoing a transition between the solid and liquid phase. Only one of them, albeit the most common, showed a radar brightband signature. In-depth study of the bright band and its dependence on precipitation intensity reveals that the ratio of the brightband peak reflectivity to the rainfall reflectivity is constant at 8 dB below 0.5 mm h−1 and then increases to reach 13 dB at 2.5 mm h−1 and 16 dB at 5 mm h−1. The equivalent reflectivity factor of snow just above the melting layer is on average 1–2 dB below the reflectivity of rain just below the melting layer, independent of precipitation intensity. The classical brightband explanation accounts for less than half of the observed reflectivity enhancement; the difference could be explained by effects associated with the shape and density of melting snowflakes and, to a smaller extent, by precipitation growth in the melting layer and aggregation in the early stages of the melting followed by breakup in the final stages. The brightband statistics were also significantly different for reflectivities in rain above 2.5 dBZ when observations were made with an X-band radar as opposed to the wind profiler because of the combination of attenuation in the melting layer and the fact that scattering from some of the large hydrometers above and within the melting layer depart from the Rayleigh approximation usually used to compute reflectivity. The bright band is often capped by a thin and faint dark layer, which tends to be more evident at weak precipitation intensifies.","container-title":"Journal of the Atmospheric Sciences","DOI":"10.1175/1520-0469(1995)052&lt;0838:LTROOT&gt;2.0.CO;2","ISSN":"0022-4928, 1520-0469","issue":"7","language":"EN","page":"838-851","source":"journals.ametsoc.org","title":"Long-Term Radar Observations of the Melting Layer of Precipitation and Their Interpretation","volume":"52","author":[{"family":"Fabry","given":"Frederic"},{"family":"Zawadzki","given":"Isztar"}],"issued":{"date-parts":[["1995",4,1]]}}},{"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Klaassen 1988; Fabry and Zawadzki 1995; Heymsfield et al. 2015)</w:t>
      </w:r>
      <w:r w:rsidRPr="00CF0DF4">
        <w:rPr>
          <w:lang w:val="en-US"/>
        </w:rPr>
        <w:fldChar w:fldCharType="end"/>
      </w:r>
      <w:r w:rsidRPr="00CF0DF4">
        <w:rPr>
          <w:lang w:val="en-US"/>
        </w:rPr>
        <w:t xml:space="preserve">. </w:t>
      </w:r>
      <w:r w:rsidRPr="00CF0DF4">
        <w:rPr>
          <w:rFonts w:cs="Times New Roman"/>
          <w:lang w:val="en-US"/>
        </w:rPr>
        <w:t xml:space="preserve">Fabry and </w:t>
      </w:r>
      <w:proofErr w:type="spellStart"/>
      <w:r w:rsidRPr="00CF0DF4">
        <w:rPr>
          <w:rFonts w:cs="Times New Roman"/>
          <w:lang w:val="en-US"/>
        </w:rPr>
        <w:t>Zawadzki</w:t>
      </w:r>
      <w:proofErr w:type="spellEnd"/>
      <w:r w:rsidRPr="00CF0DF4">
        <w:rPr>
          <w:rFonts w:cs="Times New Roman"/>
          <w:lang w:val="en-US"/>
        </w:rPr>
        <w:t xml:space="preserve"> (1995</w:t>
      </w:r>
      <w:r w:rsidRPr="00CF0DF4">
        <w:rPr>
          <w:lang w:val="en-US"/>
        </w:rPr>
        <w:t xml:space="preserve">) found the dielectric constant change leaves 10 dB of the bright band magnitude unaccounted. Some of the reflectivity increase is likely due to shape effects due to </w:t>
      </w:r>
      <w:proofErr w:type="spellStart"/>
      <w:r w:rsidRPr="00CF0DF4">
        <w:rPr>
          <w:lang w:val="en-US"/>
        </w:rPr>
        <w:t>nonsphericity</w:t>
      </w:r>
      <w:proofErr w:type="spellEnd"/>
      <w:r w:rsidRPr="00CF0DF4">
        <w:rPr>
          <w:lang w:val="en-US"/>
        </w:rPr>
        <w:t xml:space="preserve"> of melting hydrometeors at stratiform rain rates may increase reflectivity. Additionally, the coupling of aggregation and breakup, along with precipitation growth, may contribute a relatively small contributors to the bright band. The relative extent to which each of these physical processes contributes to the magnitude of the bright band remains an unsolved issue.</w:t>
      </w:r>
    </w:p>
    <w:p w14:paraId="0A218CB0" w14:textId="77777777" w:rsidR="00F71C70" w:rsidRPr="00CF0DF4" w:rsidRDefault="00F71C70" w:rsidP="00F71C70">
      <w:pPr>
        <w:pStyle w:val="Body"/>
        <w:rPr>
          <w:lang w:val="en-US"/>
        </w:rPr>
      </w:pPr>
      <w:r w:rsidRPr="00CF0DF4">
        <w:rPr>
          <w:lang w:val="en-US"/>
        </w:rPr>
        <w:fldChar w:fldCharType="begin"/>
      </w:r>
      <w:r w:rsidRPr="00CF0DF4">
        <w:rPr>
          <w:lang w:val="en-US"/>
        </w:rPr>
        <w:instrText xml:space="preserve"> ADDIN ZOTERO_ITEM CSL_CITATION {"citationID":"VeW83qCl","properties":{"formattedCitation":"(Baeck and Smith 1998)","plainCitation":"(Baeck and Smith 1998)","dontUpdate":true,"noteIndex":0},"citationItems":[{"id":156,"uris":["http://zotero.org/groups/4663654/items/BV8BCLUV"],"itemData":{"id":156,"type":"article-journal","abstract":"Abstract Storms that produce extreme flooding present a special challenge for the WSR-88D rainfall algorithms. The authors assess the utility of weather radar in the investigation of extreme rain-producing storms through both climatological analyses of long-term radar datasets and case studies of storm events. Climatological analyses are presented for long records of WSR-88D volume scan reflectivity observations, for hourly radar rainfall accumulations products (WSR-88D and WSR-57D), and for radar–rain gauge intercomparisons. These analyses provide a context for interpreting case study assessments of WSR-88D rainfall estimates. Case studies are presented of five storms that produced extreme floods in the United States. Events include 1) the orographically enhanced Rapidan storm in the Blue Ridge region of Virginia, which resulted in more than 600 mm of rain during a 6-h period on 27 June 1995; 2) the southeast Texas storms of 16–17 October 1994 in which approximately 750 mm of rain fell during a 6-h time period; 3) the Dallas, Texas, hailstorm of 5 May 1995, which resulted in 16 flash flood deaths during a period of several hours and property damage exceeding $1 billion; 4) the Chicago, Illinois, storms of 17 July 1996 during which the 24-h rainfall record for Illinois was shattered; and 5) Hurricane Fran, which resulted in unprecedented flooding in North Carolina and Virginia during September of 1996. For each event, analyses revolve around volume scan WSR-88D reflectivity observations. The climatological analysis presented, in conjunction with the case studies analyzed, illustrate the significance of 1) brightband contamination, 2) tilt selection, 3) hail, 4) radar calibration, and 5) Z–R relationships for quantitative rainfall estimates by the WSR-88D.","container-title":"Weather and Forecasting","DOI":"10.1175/1520-0434(1998)013&lt;0416:REBTWF&gt;2.0.CO;2","ISSN":"1520-0434, 0882-8156","issue":"2","language":"EN","note":"publisher: American Meteorological Society\nsection: Weather and Forecasting","page":"416-436","source":"journals.ametsoc.org","title":"Rainfall Estimation by the WSR-88D for Heavy Rainfall Events","volume":"13","author":[{"family":"Baeck","given":"Mary Lynn"},{"family":"Smith","given":"James A."}],"issued":{"date-parts":[["1998",6,1]]}}}],"schema":"https://github.com/citation-style-language/schema/raw/master/csl-citation.json"} </w:instrText>
      </w:r>
      <w:r w:rsidRPr="00CF0DF4">
        <w:rPr>
          <w:lang w:val="en-US"/>
        </w:rPr>
        <w:fldChar w:fldCharType="separate"/>
      </w:r>
      <w:r w:rsidRPr="00CF0DF4">
        <w:rPr>
          <w:rFonts w:cs="Times New Roman"/>
          <w:lang w:val="en-US"/>
        </w:rPr>
        <w:t>Baeck and Smith (1998)</w:t>
      </w:r>
      <w:r w:rsidRPr="00CF0DF4">
        <w:rPr>
          <w:lang w:val="en-US"/>
        </w:rPr>
        <w:fldChar w:fldCharType="end"/>
      </w:r>
      <w:r w:rsidRPr="00CF0DF4">
        <w:rPr>
          <w:lang w:val="en-US"/>
        </w:rPr>
        <w:t xml:space="preserve"> found the bright band caused one radar’s rainfall estimates to be nearly three times higher than another radar’s estimates that did not intercept the bright band. The importance of correcting for this rainfall overestimation due to the bright band has been highlighted; however, rainfall estimates were sometimes overcorrected </w:t>
      </w:r>
      <w:r w:rsidRPr="00CF0DF4">
        <w:rPr>
          <w:lang w:val="en-US"/>
        </w:rPr>
        <w:fldChar w:fldCharType="begin"/>
      </w:r>
      <w:r w:rsidRPr="00CF0DF4">
        <w:rPr>
          <w:lang w:val="en-US"/>
        </w:rPr>
        <w:instrText xml:space="preserve"> ADDIN ZOTERO_ITEM CSL_CITATION {"citationID":"J9keLC9p","properties":{"formattedCitation":"(Harrison et al. 2000)","plainCitation":"(Harrison et al. 2000)","noteIndex":0},"citationItems":[{"id":153,"uris":["http://zotero.org/groups/4663654/items/6WN8B98M"],"itemData":{"id":153,"type":"article-journal","abstract":"Errors and uncertainty in radar estimates of precipitation result both from errors in the basic measurement of reflectivity and from attempts to relate this to the precipitation falling at the ground. If radar data are to be used to their full potential, it is essential that effective measures are taken to mitigate these problems. The automatic processing of radar data that forms part of the UK Met. Office's Nimrod system addresses a number of specific sources of error. These include the identification and removal of spurious echoes resulting from anomalous propagation of the radar beam, errors resulting from variations in the vertical profile of reflectivity and radar sensitivity errors. Routine verification of the surface precipitation estimates has been undertaken, largely through comparison with rain gauge observations, over a range of timescales, which has allowed the benefits of the quality control and correction processes to be quantified. Although the improvement derived varies according to the dominant synoptic situation, an average reduction in the root-mean-square difference between gauge and radar data of 30% can be achieved. Copyright © 2000 Royal Meteorological Society","container-title":"Meteorological Applications","DOI":"10.1017/S1350482700001468","ISSN":"1469-8080","issue":"2","language":"en","note":"_eprint: https://onlinelibrary.wiley.com/doi/pdf/10.1017/S1350482700001468","page":"135-144","source":"Wiley Online Library","title":"Improving precipitation estimates from weather radar using quality control and correction techniques","volume":"7","author":[{"family":"Harrison","given":"D L"},{"family":"Driscoll","given":"S J"},{"family":"Kitchen","given":"M"}],"issued":{"date-parts":[["2000"]]}}}],"schema":"https://github.com/citation-style-language/schema/raw/master/csl-citation.json"} </w:instrText>
      </w:r>
      <w:r w:rsidRPr="00CF0DF4">
        <w:rPr>
          <w:lang w:val="en-US"/>
        </w:rPr>
        <w:fldChar w:fldCharType="separate"/>
      </w:r>
      <w:r w:rsidRPr="00CF0DF4">
        <w:rPr>
          <w:rFonts w:cs="Times New Roman"/>
          <w:lang w:val="en-US"/>
        </w:rPr>
        <w:t>(Harrison et al. 2000)</w:t>
      </w:r>
      <w:r w:rsidRPr="00CF0DF4">
        <w:rPr>
          <w:lang w:val="en-US"/>
        </w:rPr>
        <w:fldChar w:fldCharType="end"/>
      </w:r>
      <w:r w:rsidRPr="00CF0DF4">
        <w:rPr>
          <w:lang w:val="en-US"/>
        </w:rPr>
        <w:t>. Quantifying the different contributions to the bright band is necessary to improve rainfall estimates.</w:t>
      </w:r>
    </w:p>
    <w:p w14:paraId="441EE7B2" w14:textId="77777777" w:rsidR="00F71C70" w:rsidRPr="00CF0DF4" w:rsidRDefault="00F71C70" w:rsidP="00F71C70">
      <w:pPr>
        <w:pStyle w:val="Heading2"/>
        <w:rPr>
          <w:lang w:val="en-US"/>
        </w:rPr>
      </w:pPr>
      <w:bookmarkStart w:id="16" w:name="_Toc102411883"/>
      <w:bookmarkStart w:id="17" w:name="_Toc109123096"/>
      <w:r w:rsidRPr="00CF0DF4">
        <w:rPr>
          <w:lang w:val="en-US"/>
        </w:rPr>
        <w:t>1. 3 Laboratory Experiments and Numerical Models</w:t>
      </w:r>
      <w:bookmarkEnd w:id="16"/>
      <w:bookmarkEnd w:id="17"/>
    </w:p>
    <w:p w14:paraId="70AB747F" w14:textId="36F0680A" w:rsidR="00F71C70" w:rsidRPr="00CF0DF4" w:rsidRDefault="00F71C70" w:rsidP="00F71C70">
      <w:pPr>
        <w:pStyle w:val="Body"/>
        <w:rPr>
          <w:lang w:val="en-US"/>
        </w:rPr>
      </w:pPr>
      <w:r w:rsidRPr="00CF0DF4">
        <w:rPr>
          <w:lang w:val="en-US"/>
        </w:rPr>
        <w:t xml:space="preserve">Laboratory experiments provide additional information for understanding the melting layer. Individual snow </w:t>
      </w:r>
      <w:r w:rsidR="00781424">
        <w:rPr>
          <w:lang w:val="en-US"/>
        </w:rPr>
        <w:t>hydrometeor</w:t>
      </w:r>
      <w:r w:rsidRPr="00CF0DF4">
        <w:rPr>
          <w:lang w:val="en-US"/>
        </w:rPr>
        <w:t xml:space="preserve"> observations show an initial stage of uniform melting, followed by a stage where the melting rate depends on meltwater thickness covering the ice </w:t>
      </w:r>
      <w:r w:rsidRPr="00CF0DF4">
        <w:rPr>
          <w:lang w:val="en-US"/>
        </w:rPr>
        <w:fldChar w:fldCharType="begin"/>
      </w:r>
      <w:r w:rsidRPr="00CF0DF4">
        <w:rPr>
          <w:lang w:val="en-US"/>
        </w:rPr>
        <w:instrText xml:space="preserve"> ADDIN ZOTERO_ITEM CSL_CITATION {"citationID":"DIesRWCC","properties":{"formattedCitation":"(Knight 1979)","plainCitation":"(Knight 1979)","noteIndex":0},"citationItems":[{"id":201,"uris":["http://zotero.org/groups/4663654/items/4HQ2U22B"],"itemData":{"id":201,"type":"article-journal","abstract":"Abstract The forms of snow crystals and flakes in various stages of melting can be observed with substantial fidelity after collecting the particles in subfreezing hexane. These forms are largely determined by minimum surface area considerations, which can lead to the breakup of some forms. The collection method might be useful in detailed studies of the radar bright band.","container-title":"Journal of the Atmospheric Sciences","DOI":"10.1175/1520-0469(1979)036&lt;1123:OOTMOM&gt;2.0.CO;2","ISSN":"0022-4928, 1520-0469","issue":"6","language":"EN","note":"publisher: American Meteorological Society\nsection: Journal of the Atmospheric Sciences","page":"1123-1130","source":"journals.ametsoc.org","title":"Observations of the Morphology of Melting Snow","volume":"36","author":[{"family":"Knight","given":"Charles A."}],"issued":{"date-parts":[["1979",6,1]]}}}],"schema":"https://github.com/citation-style-language/schema/raw/master/csl-citation.json"} </w:instrText>
      </w:r>
      <w:r w:rsidRPr="00CF0DF4">
        <w:rPr>
          <w:lang w:val="en-US"/>
        </w:rPr>
        <w:fldChar w:fldCharType="separate"/>
      </w:r>
      <w:r w:rsidRPr="00CF0DF4">
        <w:rPr>
          <w:rFonts w:cs="Times New Roman"/>
          <w:lang w:val="en-US"/>
        </w:rPr>
        <w:t>(Knight 1979)</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{"citationID":"3vvINSER","properties":{"formattedCitation":"(Matsuo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released collected snowflakes in a vertical wind tunnel. Contrary to results of </w:t>
      </w:r>
      <w:r w:rsidRPr="00CF0DF4">
        <w:rPr>
          <w:lang w:val="en-US"/>
        </w:rPr>
        <w:fldChar w:fldCharType="begin"/>
      </w:r>
      <w:r w:rsidRPr="00CF0DF4">
        <w:rPr>
          <w:lang w:val="en-US"/>
        </w:rPr>
        <w:instrText xml:space="preserve"> ADDIN ZOTERO_ITEM CSL_CITATION {"citationID":"nzQSlEiS","properties":{"formattedCitation":"(Knight 1979)","plainCitation":"(Knight 1979)","dontUpdate":true,"noteIndex":0},"citationItems":[{"id":201,"uris":["http://zotero.org/groups/4663654/items/4HQ2U22B"],"itemData":{"id":201,"type":"article-journal","abstract":"Abstract The forms of snow crystals and flakes in various stages of melting can be observed with substantial fidelity after collecting the particles in subfreezing hexane. These forms are largely determined by minimum surface area considerations, which can lead to the breakup of some forms. The collection method might be useful in detailed studies of the radar bright band.","container-title":"Journal of the Atmospheric Sciences","DOI":"10.1175/1520-0469(1979)036&lt;1123:OOTMOM&gt;2.0.CO;2","ISSN":"0022-4928, 1520-0469","issue":"6","language":"EN","note":"publisher: American Meteorological Society\nsection: Journal of the Atmospheric Sciences","page":"1123-1130","source":"journals.ametsoc.org","title":"Observations of the Morphology of Melting Snow","volume":"36","author":[{"family":"Knight","given":"Charles A."}],"issued":{"date-parts":[["1979",6,1]]}}}],"schema":"https://github.com/citation-style-language/schema/raw/master/csl-citation.json"} </w:instrText>
      </w:r>
      <w:r w:rsidRPr="00CF0DF4">
        <w:rPr>
          <w:lang w:val="en-US"/>
        </w:rPr>
        <w:fldChar w:fldCharType="separate"/>
      </w:r>
      <w:r w:rsidRPr="00CF0DF4">
        <w:rPr>
          <w:rFonts w:cs="Times New Roman"/>
          <w:lang w:val="en-US"/>
        </w:rPr>
        <w:t>Knight (1979)</w:t>
      </w:r>
      <w:r w:rsidRPr="00CF0DF4">
        <w:rPr>
          <w:lang w:val="en-US"/>
        </w:rPr>
        <w:fldChar w:fldCharType="end"/>
      </w:r>
      <w:r w:rsidRPr="00CF0DF4">
        <w:rPr>
          <w:lang w:val="en-US"/>
        </w:rPr>
        <w:t xml:space="preserve">, meltwater did not fully cover the snowflake’s surface. Instead, a ragged ice surface was maintained during melting and the ice structure of a snowflakes did not easily collapse during melting. To reduce the chance of snowflakes breaking, </w:t>
      </w:r>
      <w:r w:rsidRPr="00CF0DF4">
        <w:rPr>
          <w:rFonts w:cs="Times New Roman"/>
          <w:lang w:val="en-US"/>
        </w:rPr>
        <w:fldChar w:fldCharType="begin"/>
      </w:r>
      <w:r w:rsidRPr="00CF0DF4">
        <w:rPr>
          <w:rFonts w:cs="Times New Roman"/>
          <w:lang w:val="en-US"/>
        </w:rPr>
        <w:instrText xml:space="preserve"> ADDIN ZOTERO_ITEM CSL_CITATION {"citationID":"SU0dINnm","properties":{"formattedCitation":"(Fujiyoshi 1986)","plainCitation":"(Fujiyoshi 1986)","dontUpdate":true,"noteIndex":0},"citationItems":[{"id":206,"uris":["http://zotero.org/groups/4663654/items/ZXZXB3FR"],"itemData":{"id":206,"type":"article-journal","abstract":"Abstract Many snowflakes in various melting stages were directly sampled at the, ground in almost the same way as described by Knight. From these observations the degrees of melting of snowflakes are classified into five stages. Breakup behavior of melting snowflakes is also discussed.","container-title":"Journal of the Atmospheric Sciences","DOI":"10.1175/1520-0469(1986)043&lt;0307:MS&gt;2.0.CO;2","ISSN":"0022-4928, 1520-0469","issue":"3","language":"EN","note":"publisher: American Meteorological Society\nsection: Journal of the Atmospheric Sciences","page":"307-311","source":"journals.ametsoc.org","title":"Melting Snowflakes","volume":"43","author":[{"family":"Fujiyoshi","given":"Yasushi"}],"issued":{"date-parts":[["1986",2,1]]}}}],"schema":"https://github.com/citation-style-language/schema/raw/master/csl-citation.json"} </w:instrText>
      </w:r>
      <w:r w:rsidRPr="00CF0DF4">
        <w:rPr>
          <w:rFonts w:cs="Times New Roman"/>
          <w:lang w:val="en-US"/>
        </w:rPr>
        <w:fldChar w:fldCharType="separate"/>
      </w:r>
      <w:r w:rsidRPr="00CF0DF4">
        <w:rPr>
          <w:rFonts w:cs="Times New Roman"/>
          <w:lang w:val="en-US"/>
        </w:rPr>
        <w:t>Fujiyoshi (1986)</w:t>
      </w:r>
      <w:r w:rsidRPr="00CF0DF4">
        <w:rPr>
          <w:rFonts w:cs="Times New Roman"/>
          <w:lang w:val="en-US"/>
        </w:rPr>
        <w:fldChar w:fldCharType="end"/>
      </w:r>
      <w:r w:rsidRPr="00CF0DF4">
        <w:rPr>
          <w:lang w:val="en-US"/>
        </w:rPr>
        <w:t xml:space="preserve"> collected </w:t>
      </w:r>
      <w:r w:rsidRPr="00CF0DF4">
        <w:rPr>
          <w:lang w:val="en-US"/>
        </w:rPr>
        <w:lastRenderedPageBreak/>
        <w:t>snowflakes on a silicone oil layer. Their melting snow observations indicated melting first occurred on the bottom side</w:t>
      </w:r>
      <w:r w:rsidR="00B82218" w:rsidRPr="00CF0DF4">
        <w:rPr>
          <w:lang w:val="en-US"/>
        </w:rPr>
        <w:t xml:space="preserve"> of a snow crystal</w:t>
      </w:r>
      <w:r w:rsidRPr="00CF0DF4">
        <w:rPr>
          <w:lang w:val="en-US"/>
        </w:rPr>
        <w:t xml:space="preserve">. The top side melted at a slower rate due to less efficient heat transfer, as well as latent heat causing the air temperature on the top side to be cooler. Water droplets appeared at the tips of melting forks and branches, which were then shed off. In the second stage, the snow crystal top became jagged, while the edges rapidly melted and formed droplets that would be shed off. Similar to </w:t>
      </w:r>
      <w:r w:rsidRPr="00CF0DF4">
        <w:rPr>
          <w:lang w:val="en-US"/>
        </w:rPr>
        <w:fldChar w:fldCharType="begin"/>
      </w:r>
      <w:r w:rsidRPr="00CF0DF4">
        <w:rPr>
          <w:lang w:val="en-US"/>
        </w:rPr>
        <w:instrText xml:space="preserve"> ADDIN ZOTERO_ITEM CSL_CITATION {"citationID":"ziPdD2nR","properties":{"formattedCitation":"(Matsuo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the surface became jagged and holes formed on the melting crystal during the third stage. In the fourth stage, the melting crystal becomes irregularly shaped but was smooth and contained no holes. In the final stage, crystal became round and presumably fully melted. Similarly, </w:t>
      </w:r>
      <w:r w:rsidRPr="00CF0DF4">
        <w:rPr>
          <w:lang w:val="en-US"/>
        </w:rPr>
        <w:fldChar w:fldCharType="begin"/>
      </w:r>
      <w:r w:rsidRPr="00CF0DF4">
        <w:rPr>
          <w:lang w:val="en-US"/>
        </w:rPr>
        <w:instrText xml:space="preserve"> ADDIN ZOTERO_ITEM CSL_CITATION {"citationID":"gpfGbEjz","properties":{"formattedCitation":"(Mitra et al. 1990)","plainCitation":"(Mitra et al. 1990)","dontUpdate":true,"noteIndex":0},"citationItems":[{"id":208,"uris":["http://zotero.org/groups/4663654/items/SCZ2EQDD"],"itemData":{"id":208,"type":"article-journal","abstract":"Abstract An experiment in the Mainz vertical Cloud Tunnel is described in which natural and laboratory-made aggregates of snow crystals (snow flakes) were melted under free fall conditions in the vertical air stream of the tunnel, which was allowed to warm up at the rates experienced by falling snow flakes in the atmosphere. The variation of the fall mode, the fall velocity, and the percentage of ice melted, as a function of percentage of distance travelled for 99% melting was recorded by cinematography. The laboratory results were confirmed by the results of a theoretical heat transfer model which we developed for the melting of a snow flake. In this model a snow flake was idealized by an oblate spheroid in which—as confirmed by observation—the melt water did not remain at the periphery of the flake but penetrated inside the flake. The computed distances needed by snowflakes to melt under various atmospheric conditions were found to agree well with recent radar observations.","container-title":"Journal of the Atmospheric Sciences","DOI":"10.1175/1520-0469(1990)047&lt;0584:AWTATS&gt;2.0.CO;2","ISSN":"0022-4928, 1520-0469","issue":"5","language":"EN","note":"publisher: American Meteorological Society\nsection: Journal of the Atmospheric Sciences","page":"584-591","source":"journals.ametsoc.org","title":"A Wind Tunnel and Theoretical Study of the Melting Behavior of Atmospheric Ice Particles. IV: Experiment and Theory for Snow Flakes","title-short":"A Wind Tunnel and Theoretical Study of the Melting Behavior of Atmospheric Ice Particles. IV","volume":"47","author":[{"family":"Mitra","given":"S. K."},{"family":"Vohl","given":"O."},{"family":"Ahr","given":"M."},{"family":"Pruppacher","given":"H. R."}],"issued":{"date-parts":[["1990",3,1]]}}}],"schema":"https://github.com/citation-style-language/schema/raw/master/csl-citation.json"} </w:instrText>
      </w:r>
      <w:r w:rsidRPr="00CF0DF4">
        <w:rPr>
          <w:lang w:val="en-US"/>
        </w:rPr>
        <w:fldChar w:fldCharType="separate"/>
      </w:r>
      <w:r w:rsidRPr="00CF0DF4">
        <w:rPr>
          <w:rFonts w:cs="Times New Roman"/>
          <w:lang w:val="en-US"/>
        </w:rPr>
        <w:t>Mitra et al. (1990)</w:t>
      </w:r>
      <w:r w:rsidRPr="00CF0DF4">
        <w:rPr>
          <w:lang w:val="en-US"/>
        </w:rPr>
        <w:fldChar w:fldCharType="end"/>
      </w:r>
      <w:r w:rsidRPr="00CF0DF4">
        <w:rPr>
          <w:lang w:val="en-US"/>
        </w:rPr>
        <w:t xml:space="preserve"> used wind tunnel experiments to depicted four distinct stages of melting: 1) intense melting on the edges and bottom, with small drops formed at the crystal branch tips; 2) surface tension effects and capillary forces directed meltwater to the linkages of crystal branches, and the melting crystal became ragged while the meltwater both held the crystal together and compacted the shape; 3) the structure was rearranged to have small branches on the crystal’s interior and meltwater flows to the main crystal branches; 4) the crystal became drop shaped as the ice frame collapsed and meltwater covered the melting snowflake completely.</w:t>
      </w:r>
    </w:p>
    <w:p w14:paraId="7CA12E5C" w14:textId="44017F93" w:rsidR="00F71C70" w:rsidRPr="00CF0DF4" w:rsidRDefault="00F71C70" w:rsidP="00F71C70">
      <w:pPr>
        <w:pStyle w:val="Body"/>
        <w:rPr>
          <w:lang w:val="en-US"/>
        </w:rPr>
      </w:pPr>
      <w:r w:rsidRPr="00CF0DF4">
        <w:rPr>
          <w:lang w:val="en-US"/>
        </w:rPr>
        <w:t xml:space="preserve">Results from laboratory experiments have been used in microphysics parameterization schemes (e.g., </w:t>
      </w:r>
      <w:r w:rsidRPr="00CF0DF4">
        <w:rPr>
          <w:lang w:val="en-US"/>
        </w:rPr>
        <w:fldChar w:fldCharType="begin"/>
      </w:r>
      <w:r w:rsidRPr="00CF0DF4">
        <w:rPr>
          <w:lang w:val="en-US"/>
        </w:rPr>
        <w:instrText xml:space="preserve"> ADDIN ZOTERO_ITEM CSL_CITATION {"citationID":"DFiwmxrK","properties":{"formattedCitation":"(Iversen et al. 2021)","plainCitation":"(Iversen et al. 2021)","dontUpdate":true,"noteIndex":0},"citationItems":[{"id":167,"uris":["http://zotero.org/groups/4663654/items/KL8LRKHQ"],"itemData":{"id":167,"type":"article-journal","abstract":"Snow falling into a melting layer will eventually consist of a fraction of meltwater and hence change its characteristics in terms of size, shape, density and fall speed. Most microphysical parameterizations in numerical weather prediction models typically only represent purely solid or liquid hydrometeors. Generally, this has been an acceptable compromise since the melting layer is typically very shallow and adding a mixed solid/liquid particle type would result in increased computational time. This research shows how improvements were made to the treatment of melting snow in a microphysical parameterization within the Weather Research and Forecasting (WRF) model by implementing an approximation of snowflake melted fraction together with a physically-based expression for melting particle terminal velocity. In addition, the more appropriate definition of melting level defined by the wet-bulb temperature was consistently used in various process rates, all while not adding additional prognostic variables that would add computational cost. Multiple events observed during the 2015–2016 Olympic Mountain Experiment (OLYMPEX) were used to compare with the WRF model results. The modified scheme is able to represent disdrometer observations of joint particle size and fall velocity during wet snow events, as well as fall velocity profiles through the melting layer derived from a vertically-pointing radar. The improved scheme removes ‘bulls’ eyes' of snow accumulation in lee-side areas within the melting zone, and should result in better predictions of surface precipitation phase and amount.","container-title":"Atmospheric Research","DOI":"10.1016/j.atmosres.2021.105471","ISSN":"0169-8095","journalAbbreviation":"Atmospheric Research","language":"en","page":"105471","source":"ScienceDirect","title":"Improvements to melting snow behavior in a bulk microphysics scheme","volume":"253","author":[{"family":"Iversen","given":"Emilie C."},{"family":"Thompson","given":"Gregory"},{"family":"Nygaard","given":"Bjørn Egil"}],"issued":{"date-parts":[["2021",5,1]]}}}],"schema":"https://github.com/citation-style-language/schema/raw/master/csl-citation.json"} </w:instrText>
      </w:r>
      <w:r w:rsidRPr="00CF0DF4">
        <w:rPr>
          <w:lang w:val="en-US"/>
        </w:rPr>
        <w:fldChar w:fldCharType="separate"/>
      </w:r>
      <w:r w:rsidRPr="00CF0DF4">
        <w:rPr>
          <w:rFonts w:cs="Times New Roman"/>
          <w:lang w:val="en-US"/>
        </w:rPr>
        <w:t>Iversen et al. 2021)</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{"citationID":"d3Ht0zUJ","properties":{"formattedCitation":"(Matsuo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developed a model to depict the microphysics of melting snow where the rate of crystal radius decrease was calculated using the air temperature, </w:t>
      </w:r>
      <w:r w:rsidR="00781424">
        <w:rPr>
          <w:lang w:val="en-US"/>
        </w:rPr>
        <w:t>hydrometeor</w:t>
      </w:r>
      <w:r w:rsidRPr="00CF0DF4">
        <w:rPr>
          <w:lang w:val="en-US"/>
        </w:rPr>
        <w:t xml:space="preserve"> shape and fall speed. Additionally, ice density was found to be an important factor </w:t>
      </w:r>
      <w:r w:rsidRPr="00CF0DF4">
        <w:rPr>
          <w:lang w:val="en-US"/>
        </w:rPr>
        <w:fldChar w:fldCharType="begin"/>
      </w:r>
      <w:r w:rsidRPr="00CF0DF4">
        <w:rPr>
          <w:lang w:val="en-US"/>
        </w:rPr>
        <w:instrText xml:space="preserve"> ADDIN ZOTERO_ITEM CSL_CITATION {"citationID":"FbxXaQqk","properties":{"formattedCitation":"(Klaassen 1988)","plainCitation":"(Klaassen 1988)","dontUpdate":true,"noteIndex":0},"citationItems":[{"id":65,"uris":["http://zotero.org/users/8639581/items/24E3TB7V"],"itemData":{"id":65,"type":"article-journal","container-title":"Journal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Precipitation","volume":"45","author":[{"family":"Klaassen","given":"Wim"}],"issued":{"date-parts":[["1988",12]]}}}],"schema":"https://github.com/citation-style-language/schema/raw/master/csl-citation.json"} </w:instrText>
      </w:r>
      <w:r w:rsidRPr="00CF0DF4">
        <w:rPr>
          <w:lang w:val="en-US"/>
        </w:rPr>
        <w:fldChar w:fldCharType="separate"/>
      </w:r>
      <w:r w:rsidRPr="00CF0DF4">
        <w:rPr>
          <w:rFonts w:cs="Times New Roman"/>
          <w:lang w:val="en-US"/>
        </w:rPr>
        <w:t>Klaassen (1988)</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{"citationID":"lwmfds5b","properties":{"formattedCitation":"(Szyrmer and Zawadzki 1999)","plainCitation":"(Szyrmer and Zawadzki 1999)","dontUpdate":true,"noteIndex":0},"citationItems":[{"id":142,"uris":["http://zotero.org/groups/4663654/items/UP94WRP2"],"itemData":{"id":142,"type":"article-journal","abstract":"Abstract To obtain the full description of the dynamical and microphysical finescale structures required for the computation of the radar-derived brightband parameters, a numerical model has been developed. A bulk microphysics module was introduced into a nonhydrostatic, fully compressible dynamic framework. A microphysical parameterization scheme, with five water categories (vapor, cloud water, snow, melting snow, and rain), describes the interactions related to the evolution of the melting layer (melting and diffusional exchanges of mass of each hydrometeor category). Dynamic, thermodynamic, and microphysical processes are fully coupled. The main characteristics of the bulk parameterization scheme for melting of snow are the following: 1) wet snow is described by its water content and by an additional prognostic variable, namely, the diameter of the smallest snowflake not yet completely melted; 2) the fall velocity of the melting snowflakes is based on the laboratory observations; and 3) a size-dependent ventilation coefficient of the melting particles is used. With this new formulation of the melting process some approximate analytical relations between variables that characterize the melting layer are obtained. The results of simulations show that the nonuniformity of the snow content causes horizontal variability of various atmospheric properties within the melting layer, which leads to the generation of convective cells. The impact of the induced finescale dynamics on the microphysical structure within the melting zone is analyzed.","container-title":"Journal of the Atmospheric Sciences","DOI":"10.1175/1520-0469(1999)056&lt;3573:MOTMLP&gt;2.0.CO;2","ISSN":"0022-4928, 1520-0469","issue":"20","language":"EN","note":"publisher: American Meteorological Society\nsection: Journal of the Atmospheric Sciences","page":"3573-3592","source":"journals.ametsoc.org","title":"Modeling of the Melting Layer. Part I: Dynamics and Microphysics","title-short":"Modeling of the Melting Layer. Part I","volume":"56","author":[{"family":"Szyrmer","given":"Wanda"},{"family":"Zawadzki","given":"Isztar"}],"issued":{"date-parts":[["1999",10,1]]}}}],"schema":"https://github.com/citation-style-language/schema/raw/master/csl-citation.json"} </w:instrText>
      </w:r>
      <w:r w:rsidRPr="00CF0DF4">
        <w:rPr>
          <w:lang w:val="en-US"/>
        </w:rPr>
        <w:fldChar w:fldCharType="separate"/>
      </w:r>
      <w:r w:rsidRPr="00CF0DF4">
        <w:rPr>
          <w:rFonts w:cs="Times New Roman"/>
          <w:lang w:val="en-US"/>
        </w:rPr>
        <w:t>Szyrmer and Zawadzki (1999)</w:t>
      </w:r>
      <w:r w:rsidRPr="00CF0DF4">
        <w:rPr>
          <w:lang w:val="en-US"/>
        </w:rPr>
        <w:fldChar w:fldCharType="end"/>
      </w:r>
      <w:r w:rsidRPr="00CF0DF4">
        <w:rPr>
          <w:lang w:val="en-US"/>
        </w:rPr>
        <w:t xml:space="preserve"> developed a numerical model and bulk microphysical parameterization scheme that agreed with observations; however, there was uncertainty in the morphology of melting snowflakes, which included snow parameters (shape, </w:t>
      </w:r>
      <w:r w:rsidRPr="00CF0DF4">
        <w:rPr>
          <w:lang w:val="en-US"/>
        </w:rPr>
        <w:lastRenderedPageBreak/>
        <w:t xml:space="preserve">density, fall speed, etc.). </w:t>
      </w:r>
      <w:r w:rsidRPr="00CF0DF4">
        <w:rPr>
          <w:lang w:val="en-US"/>
        </w:rPr>
        <w:fldChar w:fldCharType="begin"/>
      </w:r>
      <w:r w:rsidRPr="00CF0DF4">
        <w:rPr>
          <w:lang w:val="en-US"/>
        </w:rPr>
        <w:instrText xml:space="preserve"> ADDIN ZOTERO_ITEM CSL_CITATION {"citationID":"5Q8Ciy4c","properties":{"formattedCitation":"(Leinonen and von Lerber 2018)","plainCitation":"(Leinonen and von Lerber 2018)","dontUpdate":true,"noteIndex":0},"citationItems":[{"id":64,"uris":["http://zotero.org/users/8639581/items/PMGGV9ZW"],"itemData":{"id":64,"type":"article-journal","abstract":"Motivated by the need to understand the microphysics and improve the remote sensing of the melting layer of precipitation, we have developed a numerical 3-D model for the melting of single snowflakes. The model uses the smoothed particle hydrodynamics method and is forced by surface tension that controls the flow of meltwater on the ice surface. Heat transfer from the environment to the snowflake is simulated with a Monte Carlo scheme. In model experiments with snowflakes of various sizes and densities, we observed that the meltwater tends to initially gather in concave regions of the snowflake surface. These liquid water regions merge as they grow, and as meltwater is added, they form a shell of liquid around an ice core. This eventually develops into a water drop. The observed features during melting are consistent with experimental findings from earlier research, which suggests that the model is adequate for exploring the physics of snowflake melting. The principal remaining uncertainties arise from the omission of aerodynamic forces from the model. The results suggest that the degree of riming has a significant influence on the melting process: During initial melting, liquid water is apparent on the surface of unrimed or lightly rimed particles, while rime provides a porous structure that can absorb a relatively large amount of meltwater. Riming also strengthens the connections between different parts of the snowflake, making rimed snowflakes less prone to breakup during melting, while unrimed ones break up rather easily.","container-title":"Journal of Geophysical Research: Atmospheres","DOI":"10.1002/2017JD027909","ISSN":"2169-8996","issue":"3","language":"en","note":"_eprint: https://onlinelibrary.wiley.com/doi/pdf/10.1002/2017JD027909","page":"1811-1825","source":"Wiley Online Library","title":"Snowflake Melting Simulation Using Smoothed Particle Hydrodynamics","volume":"123","author":[{"family":"Leinonen","given":"Jussi"},{"family":"Lerber","given":"Annakaisa","non-dropping-particle":"von"}],"issued":{"date-parts":[["2018"]]}}}],"schema":"https://github.com/citation-style-language/schema/raw/master/csl-citation.json"} </w:instrText>
      </w:r>
      <w:r w:rsidRPr="00CF0DF4">
        <w:rPr>
          <w:lang w:val="en-US"/>
        </w:rPr>
        <w:fldChar w:fldCharType="separate"/>
      </w:r>
      <w:r w:rsidRPr="00CF0DF4">
        <w:rPr>
          <w:rFonts w:cs="Times New Roman"/>
          <w:lang w:val="en-US"/>
        </w:rPr>
        <w:t>Leinonen and von Lerber (2018)</w:t>
      </w:r>
      <w:r w:rsidRPr="00CF0DF4">
        <w:rPr>
          <w:lang w:val="en-US"/>
        </w:rPr>
        <w:fldChar w:fldCharType="end"/>
      </w:r>
      <w:r w:rsidRPr="00CF0DF4">
        <w:rPr>
          <w:lang w:val="en-US"/>
        </w:rPr>
        <w:t xml:space="preserve"> developed a 3-D numerical model of a single crystal melting. Riming was found to have a significant impact on melting. Rimed </w:t>
      </w:r>
      <w:r w:rsidR="00781424">
        <w:rPr>
          <w:lang w:val="en-US"/>
        </w:rPr>
        <w:t>hydrometeors</w:t>
      </w:r>
      <w:r w:rsidRPr="00CF0DF4">
        <w:rPr>
          <w:lang w:val="en-US"/>
        </w:rPr>
        <w:t xml:space="preserve"> were more porous during melting, absorbing more meltwater and becoming less prone to breakup. Utilizing a one-dimensional model of melting snow, </w:t>
      </w:r>
      <w:r w:rsidRPr="00CF0DF4">
        <w:rPr>
          <w:lang w:val="en-US"/>
        </w:rPr>
        <w:fldChar w:fldCharType="begin"/>
      </w:r>
      <w:r w:rsidRPr="00CF0DF4">
        <w:rPr>
          <w:lang w:val="en-US"/>
        </w:rPr>
        <w:instrText xml:space="preserve"> ADDIN ZOTERO_ITEM CSL_CITATION {"citationID":"OsdLxa4r","properties":{"formattedCitation":"(Carlin and Ryzhkov 2019)","plainCitation":"(Carlin and Ryzhkov 2019)","dontUpdate":true,"noteIndex":0},"citationItems":[{"id":145,"uris":["http://zotero.org/groups/4663654/items/QSWFQNB4"],"itemData":{"id":145,"type":"article-journal","abstract":"Abstract Diabatic cooling from hydrometeor phase changes in the stratiform melting layer is of great interest to both operational forecasters and modelers for its societal and dynamical consequences. Attempts to estimate the melting-layer cooling rate typically rely on either the budgeting of hydrometeor content estimated from reflectivity Z or model-generated lookup tables scaled by the magnitude of Z in the bright band. Recent advances have been made in developing methods to observe the unique polarimetric characteristics of melting snow and the additional microphysical information they may contain. However, to date no work has looked at the thermodynamic information available from the polarimetric radar brightband signature. In this study, a one-dimensional spectral bin model of melting snow and a coupled polarimetric operator are used to study the relation between the polarimetric radar bright band and the melting-layer cooling rate. Simulations using a fixed particle size distribution (PSD) and variable environmental conditions show that the height and thickness of the bright band and the maximum brightband Z and specific differential phase shift KDP are all sensitive to the ambient environment, while the differential reflectivity ZDR is relatively insensitive. Additional simulations of 2700 PSDs based on in situ observations above the melting layer indicate that the maximum Z, ΔZ, and ZDR within the melting layer are poorly correlated with the maximum cooling rate while KDP is strongly correlated. Finally, model simulations suggest that, in addition to riming, concurrent changes in aggregation and precipitation intensity and the associated cooling may plausibly cause observed sagging brightband signatures.","container-title":"Journal of Applied Meteorology and Climatology","DOI":"10.1175/JAMC-D-18-0343.1","ISSN":"1558-8424, 1558-8432","issue":"7","language":"EN","note":"publisher: American Meteorological Society\nsection: Journal of Applied Meteorology and Climatology","page":"1485-1508","source":"journals.ametsoc.org","title":"Estimation of Melting-Layer Cooling Rate from Dual-Polarization Radar: Spectral Bin Model Simulations","title-short":"Estimation of Melting-Layer Cooling Rate from Dual-Polarization Radar","volume":"58","author":[{"family":"Carlin","given":"Jacob T."},{"family":"Ryzhkov","given":"Alexander V."}],"issued":{"date-parts":[["2019",7,1]]}}}],"schema":"https://github.com/citation-style-language/schema/raw/master/csl-citation.json"} </w:instrText>
      </w:r>
      <w:r w:rsidRPr="00CF0DF4">
        <w:rPr>
          <w:lang w:val="en-US"/>
        </w:rPr>
        <w:fldChar w:fldCharType="separate"/>
      </w:r>
      <w:r w:rsidRPr="00CF0DF4">
        <w:rPr>
          <w:rFonts w:cs="Times New Roman"/>
          <w:lang w:val="en-US"/>
        </w:rPr>
        <w:t>Carlin and Ryzhkov (2019)</w:t>
      </w:r>
      <w:r w:rsidRPr="00CF0DF4">
        <w:rPr>
          <w:lang w:val="en-US"/>
        </w:rPr>
        <w:fldChar w:fldCharType="end"/>
      </w:r>
      <w:r w:rsidRPr="00CF0DF4">
        <w:rPr>
          <w:lang w:val="en-US"/>
        </w:rPr>
        <w:t xml:space="preserve"> found that relative humidity and environmental lapse rate are important factors in the melting layer and corresponding bright band thickness.</w:t>
      </w:r>
    </w:p>
    <w:p w14:paraId="4E7C73EF" w14:textId="77777777" w:rsidR="00F71C70" w:rsidRPr="00CF0DF4" w:rsidRDefault="00F71C70" w:rsidP="00F71C70">
      <w:pPr>
        <w:pStyle w:val="Heading2"/>
        <w:rPr>
          <w:lang w:val="en-US"/>
        </w:rPr>
      </w:pPr>
      <w:bookmarkStart w:id="18" w:name="_Toc102411884"/>
      <w:bookmarkStart w:id="19" w:name="_Toc109123097"/>
      <w:r w:rsidRPr="00CF0DF4">
        <w:rPr>
          <w:lang w:val="en-US"/>
        </w:rPr>
        <w:t>1.4 In-situ Observations</w:t>
      </w:r>
      <w:bookmarkEnd w:id="18"/>
      <w:bookmarkEnd w:id="19"/>
    </w:p>
    <w:p w14:paraId="1778830D" w14:textId="3AF3F01E" w:rsidR="00F71C70" w:rsidRPr="00CF0DF4" w:rsidRDefault="00F71C70" w:rsidP="00F71C70">
      <w:pPr>
        <w:pStyle w:val="Body"/>
        <w:rPr>
          <w:lang w:val="en-US"/>
        </w:rPr>
      </w:pPr>
      <w:r w:rsidRPr="00CF0DF4">
        <w:rPr>
          <w:lang w:val="en-US"/>
        </w:rPr>
        <w:t xml:space="preserve">There have been relatively few in-situ melting layer observations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{"citationID":"9WXdVE2w","properties":{"formattedCitation":"(Heymsfield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lang w:val="en-US"/>
        </w:rPr>
        <w:t xml:space="preserve">. Utilizing optical array probe measurements, </w:t>
      </w:r>
      <w:r w:rsidRPr="00CF0DF4">
        <w:rPr>
          <w:lang w:val="en-US"/>
        </w:rPr>
        <w:fldChar w:fldCharType="begin"/>
      </w:r>
      <w:r w:rsidRPr="00CF0DF4">
        <w:rPr>
          <w:lang w:val="en-US"/>
        </w:rPr>
        <w:instrText xml:space="preserve"> ADDIN ZOTERO_ITEM CSL_CITATION {"citationID":"SESGQYHX","properties":{"formattedCitation":"(Stewart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found that well-developed bright bands had large aggregates with rounded edges as the most common </w:t>
      </w:r>
      <w:r w:rsidR="00781424">
        <w:rPr>
          <w:lang w:val="en-US"/>
        </w:rPr>
        <w:t>hydrometeor</w:t>
      </w:r>
      <w:r w:rsidRPr="00CF0DF4">
        <w:rPr>
          <w:lang w:val="en-US"/>
        </w:rPr>
        <w:t xml:space="preserve"> at 0 °C. At 1.3 °C, </w:t>
      </w:r>
      <w:r w:rsidR="00781424">
        <w:rPr>
          <w:lang w:val="en-US"/>
        </w:rPr>
        <w:t>hydrometeors</w:t>
      </w:r>
      <w:r w:rsidRPr="00CF0DF4">
        <w:rPr>
          <w:lang w:val="en-US"/>
        </w:rPr>
        <w:t xml:space="preserve"> were mostly circular; however, non-circular </w:t>
      </w:r>
      <w:r w:rsidR="00781424">
        <w:rPr>
          <w:lang w:val="en-US"/>
        </w:rPr>
        <w:t>hydrometeors</w:t>
      </w:r>
      <w:r w:rsidRPr="00CF0DF4">
        <w:rPr>
          <w:lang w:val="en-US"/>
        </w:rPr>
        <w:t xml:space="preserve"> were observed up to 2.0 °C. Small </w:t>
      </w:r>
      <w:r w:rsidR="00781424">
        <w:rPr>
          <w:lang w:val="en-US"/>
        </w:rPr>
        <w:t>hydrometeors</w:t>
      </w:r>
      <w:r w:rsidRPr="00CF0DF4">
        <w:rPr>
          <w:lang w:val="en-US"/>
        </w:rPr>
        <w:t xml:space="preserve"> became circular at colder temperature indicating that complete melting proceeds from smaller to larger </w:t>
      </w:r>
      <w:r w:rsidR="00781424">
        <w:rPr>
          <w:lang w:val="en-US"/>
        </w:rPr>
        <w:t>hydrometeors</w:t>
      </w:r>
      <w:r w:rsidRPr="00CF0DF4">
        <w:rPr>
          <w:lang w:val="en-US"/>
        </w:rPr>
        <w:t xml:space="preserve">. There was a slow increase in </w:t>
      </w:r>
      <w:r w:rsidR="00781424">
        <w:rPr>
          <w:lang w:val="en-US"/>
        </w:rPr>
        <w:t>hydrometeor</w:t>
      </w:r>
      <w:r w:rsidRPr="00CF0DF4">
        <w:rPr>
          <w:lang w:val="en-US"/>
        </w:rPr>
        <w:t xml:space="preserve"> diameter from -2.5 °C to -1.0 °C, with a rapid increase in size within the 0 °C isothermal layer, which continued until approximately 2 °C where all </w:t>
      </w:r>
      <w:r w:rsidR="00781424">
        <w:rPr>
          <w:lang w:val="en-US"/>
        </w:rPr>
        <w:t>hydrometeors</w:t>
      </w:r>
      <w:r w:rsidRPr="00CF0DF4">
        <w:rPr>
          <w:lang w:val="en-US"/>
        </w:rPr>
        <w:t xml:space="preserve"> were round. </w:t>
      </w:r>
      <w:r w:rsidRPr="00CF0DF4">
        <w:rPr>
          <w:lang w:val="en-US"/>
        </w:rPr>
        <w:fldChar w:fldCharType="begin"/>
      </w:r>
      <w:r w:rsidRPr="00CF0DF4">
        <w:rPr>
          <w:lang w:val="en-US"/>
        </w:rPr>
        <w:instrText xml:space="preserve"> ADDIN ZOTERO_ITEM CSL_CITATION {"citationID":"yoVLLneb","properties":{"formattedCitation":"(Stewart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concluded aggregation was the primary cause of decrease in </w:t>
      </w:r>
      <w:r w:rsidR="00781424">
        <w:rPr>
          <w:lang w:val="en-US"/>
        </w:rPr>
        <w:t>hydrometeor</w:t>
      </w:r>
      <w:r w:rsidRPr="00CF0DF4">
        <w:rPr>
          <w:lang w:val="en-US"/>
        </w:rPr>
        <w:t xml:space="preserve"> concentration and increase in diameter above and within the melting layer.</w:t>
      </w:r>
    </w:p>
    <w:p w14:paraId="05483A6E" w14:textId="77777777" w:rsidR="00F71C70" w:rsidRPr="00CF0DF4" w:rsidRDefault="00F71C70" w:rsidP="00F71C70">
      <w:pPr>
        <w:pStyle w:val="Body"/>
        <w:rPr>
          <w:lang w:val="en-US"/>
        </w:rPr>
      </w:pPr>
      <w:r w:rsidRPr="00CF0DF4">
        <w:rPr>
          <w:lang w:val="en-US"/>
        </w:rPr>
        <w:t>Optical array probe measurements are typically fitted to an exponential size distribution</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F71C70" w:rsidRPr="00CF0DF4" w14:paraId="138EA9AF" w14:textId="77777777" w:rsidTr="00280A31">
        <w:tc>
          <w:tcPr>
            <w:tcW w:w="8906" w:type="dxa"/>
            <w:vAlign w:val="center"/>
            <w:hideMark/>
          </w:tcPr>
          <w:p w14:paraId="3EF643FC" w14:textId="77777777" w:rsidR="00F71C70" w:rsidRPr="00CF0DF4" w:rsidRDefault="00F71C70" w:rsidP="00280A31">
            <w:pPr>
              <w:rPr>
                <w:rFonts w:ascii="Times New Roman" w:eastAsia="Times New Roman" w:hAnsi="Times New Roman" w:cs="Times New Roman"/>
                <w:i/>
                <w:kern w:val="0"/>
                <w:lang w:val="en-US" w:eastAsia="fr-FR" w:bidi="ar-SA"/>
              </w:rPr>
            </w:pPr>
            <m:oMathPara>
              <m:oMath>
                <m:r>
                  <w:rPr>
                    <w:rFonts w:ascii="Cambria Math" w:hAnsi="Cambria Math"/>
                    <w:lang w:val="en-US"/>
                  </w:rPr>
                  <m:t>N</m:t>
                </m:r>
                <m:d>
                  <m:dPr>
                    <m:ctrlPr>
                      <w:rPr>
                        <w:rFonts w:ascii="Cambria Math" w:hAnsi="Cambria Math"/>
                        <w:i/>
                        <w:lang w:val="en-US"/>
                      </w:rPr>
                    </m:ctrlPr>
                  </m:dPr>
                  <m:e>
                    <m:r>
                      <w:rPr>
                        <w:rFonts w:ascii="Cambria Math" w:hAnsi="Cambria Math"/>
                        <w:lang w:val="en-US"/>
                      </w:rPr>
                      <m:t>D</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-λD</m:t>
                    </m:r>
                  </m:sup>
                </m:sSup>
              </m:oMath>
            </m:oMathPara>
          </w:p>
        </w:tc>
        <w:tc>
          <w:tcPr>
            <w:tcW w:w="454" w:type="dxa"/>
            <w:vAlign w:val="center"/>
          </w:tcPr>
          <w:p w14:paraId="089AF2F7" w14:textId="7B287A81" w:rsidR="00F71C70" w:rsidRPr="00CF0DF4" w:rsidRDefault="00F71C70" w:rsidP="00280A31">
            <w:pPr>
              <w:pStyle w:val="Caption-Equation2"/>
              <w:rPr>
                <w:lang w:val="en-US"/>
              </w:rPr>
            </w:pPr>
            <w:bookmarkStart w:id="20" w:name="_Ref102413130"/>
            <w:bookmarkStart w:id="21" w:name="_Ref104882346"/>
            <w:r w:rsidRPr="00CF0DF4">
              <w:rPr>
                <w:lang w:val="en-US"/>
              </w:rPr>
              <w:t>(</w:t>
            </w:r>
            <w:r w:rsidRPr="00CF0DF4">
              <w:rPr>
                <w:lang w:val="en-US"/>
              </w:rPr>
              <w:fldChar w:fldCharType="begin"/>
            </w:r>
            <w:r w:rsidRPr="00CF0DF4">
              <w:rPr>
                <w:lang w:val="en-US"/>
              </w:rPr>
              <w:instrText xml:space="preserve"> SEQ Equation \* ARABIC </w:instrText>
            </w:r>
            <w:r w:rsidRPr="00CF0DF4">
              <w:rPr>
                <w:lang w:val="en-US"/>
              </w:rPr>
              <w:fldChar w:fldCharType="separate"/>
            </w:r>
            <w:r w:rsidR="00DB4BE3">
              <w:rPr>
                <w:noProof/>
                <w:lang w:val="en-US"/>
              </w:rPr>
              <w:t>1</w:t>
            </w:r>
            <w:r w:rsidRPr="00CF0DF4">
              <w:rPr>
                <w:lang w:val="en-US"/>
              </w:rPr>
              <w:fldChar w:fldCharType="end"/>
            </w:r>
            <w:bookmarkEnd w:id="20"/>
            <w:r w:rsidRPr="00CF0DF4">
              <w:rPr>
                <w:lang w:val="en-US"/>
              </w:rPr>
              <w:t>)</w:t>
            </w:r>
            <w:bookmarkEnd w:id="21"/>
          </w:p>
          <w:p w14:paraId="3B67AE18" w14:textId="77777777" w:rsidR="00F71C70" w:rsidRPr="00CF0DF4" w:rsidRDefault="00F71C70" w:rsidP="00280A31">
            <w:pPr>
              <w:keepNext/>
              <w:jc w:val="right"/>
              <w:rPr>
                <w:rFonts w:ascii="Times New Roman" w:eastAsia="Times New Roman" w:hAnsi="Times New Roman" w:cs="Times New Roman"/>
                <w:lang w:val="en-US"/>
              </w:rPr>
            </w:pPr>
          </w:p>
        </w:tc>
      </w:tr>
    </w:tbl>
    <w:p w14:paraId="631065AE" w14:textId="0A70A855" w:rsidR="00F71C70" w:rsidRPr="00CF0DF4" w:rsidRDefault="00F71C70" w:rsidP="00F71C70">
      <w:pPr>
        <w:pStyle w:val="Body"/>
        <w:ind w:firstLine="0"/>
        <w:rPr>
          <w:rFonts w:ascii="Liberation Serif" w:eastAsia="Noto Sans CJK SC" w:hAnsi="Liberation Serif" w:cs="Lohit Devanagari"/>
          <w:lang w:val="en-US"/>
        </w:rPr>
      </w:pPr>
      <w:r w:rsidRPr="00CF0DF4">
        <w:rPr>
          <w:lang w:val="en-US"/>
        </w:rPr>
        <w:t>where N(D) is the concentration</w:t>
      </w:r>
      <w:r w:rsidRPr="00CF0DF4">
        <w:rPr>
          <w:rFonts w:eastAsia="Times New Roman" w:cs="Times New Roman"/>
          <w:lang w:val="en-US"/>
        </w:rPr>
        <w:t xml:space="preserve"> of </w:t>
      </w:r>
      <w:r w:rsidR="00781424">
        <w:rPr>
          <w:rFonts w:eastAsia="Times New Roman" w:cs="Times New Roman"/>
          <w:lang w:val="en-US"/>
        </w:rPr>
        <w:t>hydrometeors</w:t>
      </w:r>
      <w:r w:rsidRPr="00CF0DF4">
        <w:rPr>
          <w:rFonts w:eastAsia="Times New Roman" w:cs="Times New Roman"/>
          <w:lang w:val="en-US"/>
        </w:rPr>
        <w:t>, N</w:t>
      </w:r>
      <w:r w:rsidRPr="00CF0DF4">
        <w:rPr>
          <w:rFonts w:eastAsia="Times New Roman" w:cs="Times New Roman"/>
          <w:vertAlign w:val="subscript"/>
          <w:lang w:val="en-US"/>
        </w:rPr>
        <w:t>0</w:t>
      </w:r>
      <w:r w:rsidRPr="00CF0DF4">
        <w:rPr>
          <w:rFonts w:eastAsia="Times New Roman" w:cs="Times New Roman"/>
          <w:lang w:val="en-US"/>
        </w:rPr>
        <w:t xml:space="preserve"> is the intercept, λ is</w:t>
      </w:r>
      <w:r w:rsidRPr="00CF0DF4">
        <w:rPr>
          <w:rFonts w:cs="Times New Roman"/>
          <w:lang w:val="en-US"/>
        </w:rPr>
        <w:t xml:space="preserve"> the</w:t>
      </w:r>
      <w:r w:rsidRPr="00CF0DF4">
        <w:rPr>
          <w:lang w:val="en-US"/>
        </w:rPr>
        <w:t xml:space="preserve"> slope, and D is the diameter.</w:t>
      </w:r>
      <w:r w:rsidRPr="00CF0DF4">
        <w:rPr>
          <w:rFonts w:ascii="Liberation Serif" w:eastAsia="Noto Sans CJK SC" w:hAnsi="Liberation Serif" w:cs="Lohit Devanagari"/>
          <w:lang w:val="en-US"/>
        </w:rPr>
        <w:t xml:space="preserve"> Measurements near the melting layer were found to be in good agreement with an exponential distribution </w:t>
      </w:r>
      <w:r w:rsidRPr="00CF0DF4">
        <w:rPr>
          <w:lang w:val="en-US"/>
        </w:rPr>
        <w:fldChar w:fldCharType="begin"/>
      </w:r>
      <w:r w:rsidRPr="00CF0DF4">
        <w:rPr>
          <w:lang w:val="en-US"/>
        </w:rPr>
        <w:instrText xml:space="preserve"> ADDIN ZOTERO_ITEM CSL_CITATION {"citationID":"5AiEbqQa","properties":{"formattedCitation":"(Stewart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rFonts w:ascii="Liberation Serif" w:eastAsia="Noto Sans CJK SC" w:hAnsi="Liberation Serif" w:cs="Lohit Devanagari"/>
          <w:lang w:val="en-US"/>
        </w:rPr>
        <w:t xml:space="preserve">. Above the melting layer, the slope parameter </w:t>
      </w:r>
      <w:r w:rsidRPr="00CF0DF4">
        <w:rPr>
          <w:rFonts w:ascii="Liberation Serif" w:eastAsia="Noto Sans CJK SC" w:hAnsi="Liberation Serif" w:cs="Lohit Devanagari"/>
          <w:lang w:val="en-US"/>
        </w:rPr>
        <w:lastRenderedPageBreak/>
        <w:t xml:space="preserve">decreased with increasing temperature until a minimum of </w:t>
      </w:r>
      <w:r w:rsidR="000230E4" w:rsidRPr="00CF0DF4">
        <w:rPr>
          <w:rFonts w:ascii="Liberation Serif" w:eastAsia="Noto Sans CJK SC" w:hAnsi="Liberation Serif" w:cs="Lohit Devanagari"/>
          <w:lang w:val="en-US"/>
        </w:rPr>
        <w:t>approximately</w:t>
      </w:r>
      <w:r w:rsidRPr="00CF0DF4">
        <w:rPr>
          <w:rFonts w:ascii="Liberation Serif" w:eastAsia="Noto Sans CJK SC" w:hAnsi="Liberation Serif" w:cs="Lohit Devanagari"/>
          <w:lang w:val="en-US"/>
        </w:rPr>
        <w:t xml:space="preserve"> 1 mm</w:t>
      </w:r>
      <w:r w:rsidRPr="00CF0DF4">
        <w:rPr>
          <w:rFonts w:ascii="Liberation Serif" w:eastAsia="Noto Sans CJK SC" w:hAnsi="Liberation Serif" w:cs="Lohit Devanagari"/>
          <w:vertAlign w:val="superscript"/>
          <w:lang w:val="en-US"/>
        </w:rPr>
        <w:t>-1</w:t>
      </w:r>
      <w:r w:rsidRPr="00CF0DF4">
        <w:rPr>
          <w:rFonts w:ascii="Liberation Serif" w:eastAsia="Noto Sans CJK SC" w:hAnsi="Liberation Serif" w:cs="Lohit Devanagari"/>
          <w:lang w:val="en-US"/>
        </w:rPr>
        <w:t xml:space="preserve"> was reached near 0 °C. Melting prevented the slope parameter from further decreasing and instead the slope parameter increased to </w:t>
      </w:r>
      <w:r w:rsidR="000230E4" w:rsidRPr="00CF0DF4">
        <w:rPr>
          <w:rFonts w:ascii="Liberation Serif" w:eastAsia="Noto Sans CJK SC" w:hAnsi="Liberation Serif" w:cs="Lohit Devanagari"/>
          <w:lang w:val="en-US"/>
        </w:rPr>
        <w:t>approximately</w:t>
      </w:r>
      <w:r w:rsidRPr="00CF0DF4">
        <w:rPr>
          <w:rFonts w:ascii="Liberation Serif" w:eastAsia="Noto Sans CJK SC" w:hAnsi="Liberation Serif" w:cs="Lohit Devanagari"/>
          <w:lang w:val="en-US"/>
        </w:rPr>
        <w:t xml:space="preserve"> 3 mm</w:t>
      </w:r>
      <w:r w:rsidRPr="00CF0DF4">
        <w:rPr>
          <w:rFonts w:ascii="Liberation Serif" w:eastAsia="Noto Sans CJK SC" w:hAnsi="Liberation Serif" w:cs="Lohit Devanagari"/>
          <w:vertAlign w:val="superscript"/>
          <w:lang w:val="en-US"/>
        </w:rPr>
        <w:t>-1</w:t>
      </w:r>
      <w:r w:rsidRPr="00CF0DF4">
        <w:rPr>
          <w:rFonts w:ascii="Liberation Serif" w:eastAsia="Noto Sans CJK SC" w:hAnsi="Liberation Serif" w:cs="Lohit Devanagari"/>
          <w:lang w:val="en-US"/>
        </w:rPr>
        <w:t xml:space="preserve"> and the intercept parameter decreased within the melting layer until approximately 2.5 °C. Below the melting layer, the intercept parameter increased towards the Marshall-Palmer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{"citationID":"U8T2ziuT","properties":{"formattedCitation":"(Marshall and Palmer 1948)","plainCitation":"(Marshall and Palmer 1948)","noteIndex":0},"citationItems":[{"id":61,"uris":["http://zotero.org/users/8639581/items/KGFEJ9HA"],"itemData":{"id":61,"type":"article-journal","abstract":"Abstract No Abstract Available","container-title":"Journal of the Atmospheric Sciences","DOI":"10.1175/1520-0469(1948)005&lt;0165:TDORWS&gt;2.0.CO;2","ISSN":"1520-0469","issue":"4","language":"EN","note":"publisher: American Meteorological Society\nsection: Journal of the Atmospheric Sciences","page":"165-166","source":"journals.ametsoc.org","title":"THE DISTRIBUTION OF RAINDROPS WITH SIZE","volume":"5","author":[{"family":"Marshall","given":"J. S."},{"family":"Palmer","given":"W. Mc K."}],"issued":{"date-parts":[["1948",8,1]]}}}],"schema":"https://github.com/citation-style-language/schema/raw/master/csl-citation.json"}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(Marshall and Palmer 1948)</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size distribution intercept value of 8 </w:t>
      </w:r>
      <w:r w:rsidRPr="00CF0DF4">
        <w:rPr>
          <w:rFonts w:eastAsia="Noto Sans CJK SC" w:cs="Times New Roman"/>
          <w:lang w:val="en-US"/>
        </w:rPr>
        <w:t xml:space="preserve">× </w:t>
      </w:r>
      <w:r w:rsidRPr="00CF0DF4">
        <w:rPr>
          <w:rFonts w:ascii="Liberation Serif" w:eastAsia="Noto Sans CJK SC" w:hAnsi="Liberation Serif" w:cs="Lohit Devanagari"/>
          <w:lang w:val="en-US"/>
        </w:rPr>
        <w:t>10</w:t>
      </w:r>
      <w:r w:rsidRPr="00CF0DF4">
        <w:rPr>
          <w:rFonts w:ascii="Liberation Serif" w:eastAsia="Noto Sans CJK SC" w:hAnsi="Liberation Serif" w:cs="Lohit Devanagari"/>
          <w:vertAlign w:val="superscript"/>
          <w:lang w:val="en-US"/>
        </w:rPr>
        <w:t>6</w:t>
      </w:r>
      <w:r w:rsidRPr="00CF0DF4">
        <w:rPr>
          <w:rFonts w:ascii="Liberation Serif" w:eastAsia="Noto Sans CJK SC" w:hAnsi="Liberation Serif" w:cs="Lohit Devanagari"/>
          <w:lang w:val="en-US"/>
        </w:rPr>
        <w:t xml:space="preserve"> m</w:t>
      </w:r>
      <w:r w:rsidRPr="00CF0DF4">
        <w:rPr>
          <w:rFonts w:ascii="Liberation Serif" w:eastAsia="Noto Sans CJK SC" w:hAnsi="Liberation Serif" w:cs="Lohit Devanagari"/>
          <w:vertAlign w:val="superscript"/>
          <w:lang w:val="en-US"/>
        </w:rPr>
        <w:t>-4</w:t>
      </w:r>
      <w:r w:rsidRPr="00CF0DF4">
        <w:rPr>
          <w:rFonts w:ascii="Liberation Serif" w:eastAsia="Noto Sans CJK SC" w:hAnsi="Liberation Serif" w:cs="Lohit Devanagari"/>
          <w:lang w:val="en-US"/>
        </w:rPr>
        <w:t>.</w:t>
      </w:r>
    </w:p>
    <w:p w14:paraId="0719AC84" w14:textId="29A40C40" w:rsidR="00F71C70" w:rsidRPr="00CF0DF4" w:rsidRDefault="00F71C70" w:rsidP="00F71C70">
      <w:pPr>
        <w:pStyle w:val="Body"/>
        <w:rPr>
          <w:rFonts w:ascii="Liberation Serif" w:eastAsia="Noto Sans CJK SC" w:hAnsi="Liberation Serif" w:cs="Lohit Devanagari"/>
          <w:lang w:val="en-US"/>
        </w:rPr>
      </w:pP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{"citationID":"HTZGt451","properties":{"formattedCitation":"(Willis and Heymsfield 1989)","plainCitation":"(Willis and Heymsfield 1989)","dontUpdate":true,"noteIndex":0},"citationItems":[{"id":125,"uris":["http://zotero.org/groups/4663654/items/4U3A5ASG"],"itemData":{"id":125,"type":"article-journal","abstract":"Abstract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Willis and Heymsfield (1989)</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examined the melting layer </w:t>
      </w:r>
      <w:r w:rsidR="000A514C">
        <w:rPr>
          <w:rFonts w:ascii="Liberation Serif" w:eastAsia="Noto Sans CJK SC" w:hAnsi="Liberation Serif" w:cs="Lohit Devanagari"/>
          <w:lang w:val="en-US"/>
        </w:rPr>
        <w:t>using</w:t>
      </w:r>
      <w:r w:rsidRPr="00CF0DF4">
        <w:rPr>
          <w:rFonts w:ascii="Liberation Serif" w:eastAsia="Noto Sans CJK SC" w:hAnsi="Liberation Serif" w:cs="Lohit Devanagari"/>
          <w:lang w:val="en-US"/>
        </w:rPr>
        <w:t xml:space="preserve"> aircraft observations taken during spiral descents within a mesoscale convective system. Maximum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diameter increased just above and through the isothermal layer due to significant aggregation, while the concentration of smallest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decreased. Below the isothermal layer, the concentration of large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decreased with melting, although the maximum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diameter increased. Relatively few large aggregates survived at temperatures of 5.5 °C and warmer.</w:t>
      </w:r>
    </w:p>
    <w:p w14:paraId="7EFBF16E" w14:textId="015F1E75" w:rsidR="00F71C70" w:rsidRPr="00CF0DF4" w:rsidRDefault="00F71C70" w:rsidP="00F71C70">
      <w:pPr>
        <w:pStyle w:val="Body"/>
        <w:rPr>
          <w:rFonts w:eastAsia="Noto Sans CJK SC" w:cs="Times New Roman"/>
          <w:lang w:val="en-US"/>
        </w:rPr>
      </w:pP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{"citationID":"vLqdsiQ3","properties":{"formattedCitation":"(McFarquhar et al. 2007)","plainCitation":"(McFarquhar et al. 2007)","dontUpdate":true,"noteIndex":0},"citationItems":[{"id":128,"uris":["http://zotero.org/groups/4663654/items/WTMFAD4M"],"itemData":{"id":128,"type":"article-journal","abstract":"Abstract During the Bow Echo and Mesoscale Convective Vortex Experiment, the NOAA P-3 research aircraft executed 17 spiral descents to the rear of convective lines to document the vertical variability of hydrometeors above, within, and below the stratiform melting layer. Ten spirals were behind lines that exhibited bowing at some stage in their evolution. Although quick descents on some spirals forced sampling of different particle zones, clear trends with respect to temperature were seen. For 16 spirals, the ambient relative humidity with respect to ice was in the range of 100% ± 4% at temperatures between −10°C and the melting layer, but exhibited steady decreases below the melting layer to an average relative humidity with respect to water of 77% ± 15% at 9°C. In contrast, one spiral conducted on 29 June 2003 directly behind a developing bow echo had a relative humidity with respect to ice averaging 85% at heights above the 0°C level and relative humidity with respect to ice further decreased below the 0°C level to a minimum relative humidity with respect to water of 48% at 9°C. Vertical profiles of particle shapes, size distributions (SDs), total mass contents (TMC), number concentrations, and parameters of gamma distributions fit to SDs were computed using optical array probe data in conjunction with measurements of radar reflectivity from the P-3 X-band tail radar. For spirals with humidity at or near saturation above the melting layer, melting particles occurred through about 300 m of cloud depth between 0° and 2° or 3°C. Above the melting layer, number concentrations, dominated by smaller crystals, decreased at 19% ± 10% °C−1, faster than the 10% ± 7% °C−1 decrease of TMC dominated by larger particles. Increases in the numbers of crystals with a maximum dimension &lt;2 mm (N&lt;2) and in the slope parameter with temperature also occurred. To the extent that in-cloud heterogeneity did not complicate observed trends, these trends suggest aggregation dominated the evolution of SDs. Observations on 29 June differ from other days and are explained by the unique position and timing of the spiral in subsaturated air behind a developing bow. On 29 June the presence of an isothermal layer at 2.5°C suggested that sublimative cooling delayed the onset of melting. Ice at 7°C showed that melting particles were present through 500 m of cloud depth. A slight decrease in N&lt;2, but no decrease in the slope parameter, with temperature suggested that sublimation modified the impact of aggregation. Sublimative cooling would only have been significant at the location of the 29 June spiral. For other spirals, evaporative cooling below the melting layer in subsaturated regions was the most important diabatic processes in the stratiform regions at the time of the observations.","container-title":"Monthly Weather Review","DOI":"10.1175/MWR3444.1","ISSN":"1520-0493, 0027-0644","issue":"10","language":"EN","note":"publisher: American Meteorological Society\nsection: Monthly Weather Review","page":"3405-3428","source":"journals.ametsoc.org","title":"Vertical Variability of Cloud Hydrometeors in the Stratiform Region of Mesoscale Convective Systems and Bow Echoes","volume":"135","author":[{"family":"McFarquhar","given":"Greg M."},{"family":"Timlin","given":"Michael S."},{"family":"Rauber","given":"Robert M."},{"family":"Jewett","given":"Brian F."},{"family":"Grim","given":"Joseph A."},{"family":"Jorgensen","given":"David P."}],"issued":{"date-parts":[["2007",10,1]]}}}],"schema":"https://github.com/citation-style-language/schema/raw/master/csl-citation.json"}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McFarquhar et al. (2007)</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investigated the variability of hydrometeors above, </w:t>
      </w:r>
      <w:r w:rsidR="00F142F1" w:rsidRPr="00CF0DF4">
        <w:rPr>
          <w:rFonts w:ascii="Liberation Serif" w:eastAsia="Noto Sans CJK SC" w:hAnsi="Liberation Serif" w:cs="Lohit Devanagari"/>
          <w:lang w:val="en-US"/>
        </w:rPr>
        <w:t>within</w:t>
      </w:r>
      <w:r w:rsidRPr="00CF0DF4">
        <w:rPr>
          <w:rFonts w:ascii="Liberation Serif" w:eastAsia="Noto Sans CJK SC" w:hAnsi="Liberation Serif" w:cs="Lohit Devanagari"/>
          <w:lang w:val="en-US"/>
        </w:rPr>
        <w:t xml:space="preserve">, and below the melting layer taken during spiral descents through stratiform precipitation. Above the melting layer, the concentration of small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decreased while the concentration of large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increased, consistent with aggregation. However, the maximum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of approximately 7.0 mm did not vary much with temperature for concentrations greater than 10</w:t>
      </w:r>
      <w:r w:rsidRPr="00CF0DF4">
        <w:rPr>
          <w:rFonts w:ascii="Liberation Serif" w:eastAsia="Noto Sans CJK SC" w:hAnsi="Liberation Serif" w:cs="Lohit Devanagari"/>
          <w:vertAlign w:val="superscript"/>
          <w:lang w:val="en-US"/>
        </w:rPr>
        <w:t>3</w:t>
      </w:r>
      <w:r w:rsidRPr="00CF0DF4">
        <w:rPr>
          <w:rFonts w:ascii="Liberation Serif" w:eastAsia="Noto Sans CJK SC" w:hAnsi="Liberation Serif" w:cs="Lohit Devanagari"/>
          <w:lang w:val="en-US"/>
        </w:rPr>
        <w:t xml:space="preserve"> m</w:t>
      </w:r>
      <w:r w:rsidRPr="00CF0DF4">
        <w:rPr>
          <w:rFonts w:ascii="Liberation Serif" w:eastAsia="Noto Sans CJK SC" w:hAnsi="Liberation Serif" w:cs="Lohit Devanagari"/>
          <w:vertAlign w:val="superscript"/>
          <w:lang w:val="en-US"/>
        </w:rPr>
        <w:t>-4</w:t>
      </w:r>
      <w:r w:rsidRPr="00CF0DF4">
        <w:rPr>
          <w:rFonts w:ascii="Liberation Serif" w:eastAsia="Noto Sans CJK SC" w:hAnsi="Liberation Serif" w:cs="Lohit Devanagari"/>
          <w:lang w:val="en-US"/>
        </w:rPr>
        <w:t xml:space="preserve">.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distributions were not largely impacted by melting until the melting was almost complete. In a 240 m thick layer starting at 2 °C,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with a 4 mm diameter decreased in concentration from 2.2 </w:t>
      </w:r>
      <w:r w:rsidRPr="00CF0DF4">
        <w:rPr>
          <w:rFonts w:eastAsia="Noto Sans CJK SC" w:cs="Times New Roman"/>
          <w:lang w:val="en-US"/>
        </w:rPr>
        <w:t>× 10</w:t>
      </w:r>
      <w:r w:rsidRPr="00CF0DF4">
        <w:rPr>
          <w:rFonts w:eastAsia="Noto Sans CJK SC" w:cs="Times New Roman"/>
          <w:vertAlign w:val="superscript"/>
          <w:lang w:val="en-US"/>
        </w:rPr>
        <w:t>-7</w:t>
      </w:r>
      <w:r w:rsidRPr="00CF0DF4">
        <w:rPr>
          <w:rFonts w:eastAsia="Noto Sans CJK SC" w:cs="Times New Roman"/>
          <w:lang w:val="en-US"/>
        </w:rPr>
        <w:t xml:space="preserve"> cm</w:t>
      </w:r>
      <w:r w:rsidRPr="00CF0DF4">
        <w:rPr>
          <w:rFonts w:eastAsia="Noto Sans CJK SC" w:cs="Times New Roman"/>
          <w:vertAlign w:val="superscript"/>
          <w:lang w:val="en-US"/>
        </w:rPr>
        <w:t>-4</w:t>
      </w:r>
      <w:r w:rsidRPr="00CF0DF4">
        <w:rPr>
          <w:rFonts w:eastAsia="Noto Sans CJK SC" w:cs="Times New Roman"/>
          <w:lang w:val="en-US"/>
        </w:rPr>
        <w:t xml:space="preserve"> to 1.8 × 10</w:t>
      </w:r>
      <w:r w:rsidRPr="00CF0DF4">
        <w:rPr>
          <w:rFonts w:eastAsia="Noto Sans CJK SC" w:cs="Times New Roman"/>
          <w:vertAlign w:val="superscript"/>
          <w:lang w:val="en-US"/>
        </w:rPr>
        <w:t>-8</w:t>
      </w:r>
      <w:r w:rsidRPr="00CF0DF4">
        <w:rPr>
          <w:rFonts w:eastAsia="Noto Sans CJK SC" w:cs="Times New Roman"/>
          <w:lang w:val="en-US"/>
        </w:rPr>
        <w:t xml:space="preserve"> cm</w:t>
      </w:r>
      <w:r w:rsidRPr="00CF0DF4">
        <w:rPr>
          <w:rFonts w:eastAsia="Noto Sans CJK SC" w:cs="Times New Roman"/>
          <w:vertAlign w:val="superscript"/>
          <w:lang w:val="en-US"/>
        </w:rPr>
        <w:t>−4</w:t>
      </w:r>
      <w:r w:rsidRPr="00CF0DF4">
        <w:rPr>
          <w:rFonts w:eastAsia="Noto Sans CJK SC" w:cs="Times New Roman"/>
          <w:lang w:val="en-US"/>
        </w:rPr>
        <w:t xml:space="preserve">. Relative humidity with respect to ice varied between 92 percent and 105 percent and caused sublimation. </w:t>
      </w:r>
      <w:r w:rsidR="00781424">
        <w:rPr>
          <w:rFonts w:eastAsia="Noto Sans CJK SC" w:cs="Times New Roman"/>
          <w:lang w:val="en-US"/>
        </w:rPr>
        <w:t>Hydrometeors</w:t>
      </w:r>
      <w:r w:rsidRPr="00CF0DF4">
        <w:rPr>
          <w:rFonts w:eastAsia="Noto Sans CJK SC" w:cs="Times New Roman"/>
          <w:lang w:val="en-US"/>
        </w:rPr>
        <w:t xml:space="preserve"> with a size between 128 µm and 512 </w:t>
      </w:r>
      <w:r w:rsidRPr="00CF0DF4">
        <w:rPr>
          <w:rFonts w:eastAsia="DengXian" w:cs="Times New Roman"/>
          <w:lang w:val="en-US"/>
        </w:rPr>
        <w:t>µ</w:t>
      </w:r>
      <w:r w:rsidRPr="00CF0DF4">
        <w:rPr>
          <w:rFonts w:eastAsia="Noto Sans CJK SC" w:cs="Times New Roman"/>
          <w:lang w:val="en-US"/>
        </w:rPr>
        <w:t xml:space="preserve">m experienced a decrease in concentration that was correlated with </w:t>
      </w:r>
      <w:r w:rsidRPr="00CF0DF4">
        <w:rPr>
          <w:rFonts w:eastAsia="Noto Sans CJK SC" w:cs="Times New Roman"/>
          <w:lang w:val="en-US"/>
        </w:rPr>
        <w:lastRenderedPageBreak/>
        <w:t xml:space="preserve">relative humidity.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{"citationID":"Q0WexfeW","properties":{"formattedCitation":"(McFarquhar et al. 2007)","plainCitation":"(McFarquhar et al. 2007)","dontUpdate":true,"noteIndex":0},"citationItems":[{"id":128,"uris":["http://zotero.org/groups/4663654/items/WTMFAD4M"],"itemData":{"id":128,"type":"article-journal","abstract":"Abstract During the Bow Echo and Mesoscale Convective Vortex Experiment, the NOAA P-3 research aircraft executed 17 spiral descents to the rear of convective lines to document the vertical variability of hydrometeors above, within, and below the stratiform melting layer. Ten spirals were behind lines that exhibited bowing at some stage in their evolution. Although quick descents on some spirals forced sampling of different particle zones, clear trends with respect to temperature were seen. For 16 spirals, the ambient relative humidity with respect to ice was in the range of 100% ± 4% at temperatures between −10°C and the melting layer, but exhibited steady decreases below the melting layer to an average relative humidity with respect to water of 77% ± 15% at 9°C. In contrast, one spiral conducted on 29 June 2003 directly behind a developing bow echo had a relative humidity with respect to ice averaging 85% at heights above the 0°C level and relative humidity with respect to ice further decreased below the 0°C level to a minimum relative humidity with respect to water of 48% at 9°C. Vertical profiles of particle shapes, size distributions (SDs), total mass contents (TMC), number concentrations, and parameters of gamma distributions fit to SDs were computed using optical array probe data in conjunction with measurements of radar reflectivity from the P-3 X-band tail radar. For spirals with humidity at or near saturation above the melting layer, melting particles occurred through about 300 m of cloud depth between 0° and 2° or 3°C. Above the melting layer, number concentrations, dominated by smaller crystals, decreased at 19% ± 10% °C−1, faster than the 10% ± 7% °C−1 decrease of TMC dominated by larger particles. Increases in the numbers of crystals with a maximum dimension &lt;2 mm (N&lt;2) and in the slope parameter with temperature also occurred. To the extent that in-cloud heterogeneity did not complicate observed trends, these trends suggest aggregation dominated the evolution of SDs. Observations on 29 June differ from other days and are explained by the unique position and timing of the spiral in subsaturated air behind a developing bow. On 29 June the presence of an isothermal layer at 2.5°C suggested that sublimative cooling delayed the onset of melting. Ice at 7°C showed that melting particles were present through 500 m of cloud depth. A slight decrease in N&lt;2, but no decrease in the slope parameter, with temperature suggested that sublimation modified the impact of aggregation. Sublimative cooling would only have been significant at the location of the 29 June spiral. For other spirals, evaporative cooling below the melting layer in subsaturated regions was the most important diabatic processes in the stratiform regions at the time of the observations.","container-title":"Monthly Weather Review","DOI":"10.1175/MWR3444.1","ISSN":"1520-0493, 0027-0644","issue":"10","language":"EN","note":"publisher: American Meteorological Society\nsection: Monthly Weather Review","page":"3405-3428","source":"journals.ametsoc.org","title":"Vertical Variability of Cloud Hydrometeors in the Stratiform Region of Mesoscale Convective Systems and Bow Echoes","volume":"135","author":[{"family":"McFarquhar","given":"Greg M."},{"family":"Timlin","given":"Michael S."},{"family":"Rauber","given":"Robert M."},{"family":"Jewett","given":"Brian F."},{"family":"Grim","given":"Joseph A."},{"family":"Jorgensen","given":"David P."}],"issued":{"date-parts":[["2007",10,1]]}}}],"schema":"https://github.com/citation-style-language/schema/raw/master/csl-citation.json"}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McFarquhar et al. (2007)</w:t>
      </w:r>
      <w:r w:rsidRPr="00CF0DF4">
        <w:rPr>
          <w:rFonts w:eastAsia="Noto Sans CJK SC" w:cs="Times New Roman"/>
          <w:lang w:val="en-US"/>
        </w:rPr>
        <w:fldChar w:fldCharType="end"/>
      </w:r>
      <w:r w:rsidRPr="00CF0DF4">
        <w:rPr>
          <w:rFonts w:eastAsia="Noto Sans CJK SC" w:cs="Times New Roman"/>
          <w:lang w:val="en-US"/>
        </w:rPr>
        <w:t xml:space="preserve"> concluded that sublimation caused a decrease in </w:t>
      </w:r>
      <w:r w:rsidR="00781424">
        <w:rPr>
          <w:rFonts w:eastAsia="Noto Sans CJK SC" w:cs="Times New Roman"/>
          <w:lang w:val="en-US"/>
        </w:rPr>
        <w:t>hydrometeor</w:t>
      </w:r>
      <w:r w:rsidRPr="00CF0DF4">
        <w:rPr>
          <w:rFonts w:eastAsia="Noto Sans CJK SC" w:cs="Times New Roman"/>
          <w:lang w:val="en-US"/>
        </w:rPr>
        <w:t xml:space="preserve"> concentrations and maximum diameter of aggregates.</w:t>
      </w:r>
    </w:p>
    <w:p w14:paraId="226A12FB" w14:textId="567B3BFD" w:rsidR="00F71C70" w:rsidRPr="00CF0DF4" w:rsidRDefault="00F71C70" w:rsidP="00F71C70">
      <w:pPr>
        <w:pStyle w:val="Body"/>
        <w:rPr>
          <w:rFonts w:eastAsia="Noto Sans CJK SC" w:cs="Times New Roman"/>
          <w:lang w:val="en-US"/>
        </w:rPr>
      </w:pP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{"citationID":"JdhWkdWl","properties":{"formattedCitation":"(Heymsfield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studied a combination of Lagrangian spiral descents and ascents, and Eulerian descents through the melting layer. Lagrangian flight paths followed a distribution of </w:t>
      </w:r>
      <w:r w:rsidR="00781424">
        <w:rPr>
          <w:rFonts w:eastAsia="Noto Sans CJK SC" w:cs="Times New Roman"/>
          <w:lang w:val="en-US"/>
        </w:rPr>
        <w:t>hydrometeors</w:t>
      </w:r>
      <w:r w:rsidRPr="00CF0DF4">
        <w:rPr>
          <w:rFonts w:eastAsia="Noto Sans CJK SC" w:cs="Times New Roman"/>
          <w:lang w:val="en-US"/>
        </w:rPr>
        <w:t xml:space="preserve"> with altitude if conditions were quasi-steady, whereas Eulerian flight paths were over a fixed geographic point. In high relative humidity environments, there was no significant change in total </w:t>
      </w:r>
      <w:r w:rsidR="00781424">
        <w:rPr>
          <w:rFonts w:eastAsia="Noto Sans CJK SC" w:cs="Times New Roman"/>
          <w:lang w:val="en-US"/>
        </w:rPr>
        <w:t>hydrometeor</w:t>
      </w:r>
      <w:r w:rsidRPr="00CF0DF4">
        <w:rPr>
          <w:rFonts w:eastAsia="Noto Sans CJK SC" w:cs="Times New Roman"/>
          <w:lang w:val="en-US"/>
        </w:rPr>
        <w:t xml:space="preserve"> concentrations above, </w:t>
      </w:r>
      <w:proofErr w:type="spellStart"/>
      <w:r w:rsidRPr="00CF0DF4">
        <w:rPr>
          <w:rFonts w:eastAsia="Noto Sans CJK SC" w:cs="Times New Roman"/>
          <w:lang w:val="en-US"/>
        </w:rPr>
        <w:t>through</w:t>
      </w:r>
      <w:proofErr w:type="spellEnd"/>
      <w:r w:rsidRPr="00CF0DF4">
        <w:rPr>
          <w:rFonts w:eastAsia="Noto Sans CJK SC" w:cs="Times New Roman"/>
          <w:lang w:val="en-US"/>
        </w:rPr>
        <w:t xml:space="preserve">, and below the melting layer.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{"citationID":"MvRQf2LP","properties":{"formattedCitation":"(Heymsfield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suggested there is little significance in the breakup of melting </w:t>
      </w:r>
      <w:r w:rsidR="00781424">
        <w:rPr>
          <w:rFonts w:eastAsia="Noto Sans CJK SC" w:cs="Times New Roman"/>
          <w:lang w:val="en-US"/>
        </w:rPr>
        <w:t>hydrometeors</w:t>
      </w:r>
      <w:r w:rsidRPr="00CF0DF4">
        <w:rPr>
          <w:rFonts w:eastAsia="Noto Sans CJK SC" w:cs="Times New Roman"/>
          <w:lang w:val="en-US"/>
        </w:rPr>
        <w:t xml:space="preserve"> in and below the melting layer, which would have been expected to enhance </w:t>
      </w:r>
      <w:r w:rsidR="00781424">
        <w:rPr>
          <w:rFonts w:eastAsia="Noto Sans CJK SC" w:cs="Times New Roman"/>
          <w:lang w:val="en-US"/>
        </w:rPr>
        <w:t>hydrometeor</w:t>
      </w:r>
      <w:r w:rsidRPr="00CF0DF4">
        <w:rPr>
          <w:rFonts w:eastAsia="Noto Sans CJK SC" w:cs="Times New Roman"/>
          <w:lang w:val="en-US"/>
        </w:rPr>
        <w:t xml:space="preserve"> concentrations. The lack of concentration enhancement may be a result of aggregation, which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{"citationID":"cVnT5OBB","properties":{"formattedCitation":"(Stewart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200 m thick existed at 0°C, and radar bright bands up to 36 dB(Ze) were measured. The largest concentrations of ice particles occurred near −5°C and snowflakes melted by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Stewart et al. (1984)</w:t>
      </w:r>
      <w:r w:rsidRPr="00CF0DF4">
        <w:rPr>
          <w:rFonts w:eastAsia="Noto Sans CJK SC" w:cs="Times New Roman"/>
          <w:lang w:val="en-US"/>
        </w:rPr>
        <w:fldChar w:fldCharType="end"/>
      </w:r>
      <w:r w:rsidRPr="00CF0DF4">
        <w:rPr>
          <w:rFonts w:eastAsia="Noto Sans CJK SC" w:cs="Times New Roman"/>
          <w:lang w:val="en-US"/>
        </w:rPr>
        <w:t xml:space="preserve"> hypothesized as a cause for decreased concentrations in and just above the melting layer. </w:t>
      </w:r>
      <w:r w:rsidRPr="00CF0DF4">
        <w:rPr>
          <w:rFonts w:cs="Times New Roman"/>
          <w:lang w:val="en-US"/>
        </w:rPr>
        <w:t>Consistent</w:t>
      </w:r>
      <w:r w:rsidRPr="00CF0DF4">
        <w:rPr>
          <w:rFonts w:eastAsia="Noto Sans CJK SC" w:cs="Times New Roman"/>
          <w:lang w:val="en-US"/>
        </w:rPr>
        <w:t xml:space="preserve"> with results from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{"citationID":"VdkkMtu8","properties":{"formattedCitation":"(Stewart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200 m thick existed at 0°C, and radar bright bands up to 36 dB(Ze) were measured. The largest concentrations of ice particles occurred near −5°C and snowflakes melted by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Stewart et al. (1984)</w:t>
      </w:r>
      <w:r w:rsidRPr="00CF0DF4">
        <w:rPr>
          <w:rFonts w:eastAsia="Noto Sans CJK SC" w:cs="Times New Roman"/>
          <w:lang w:val="en-US"/>
        </w:rPr>
        <w:fldChar w:fldCharType="end"/>
      </w:r>
      <w:r w:rsidRPr="00CF0DF4">
        <w:rPr>
          <w:rFonts w:eastAsia="Noto Sans CJK SC" w:cs="Times New Roman"/>
          <w:lang w:val="en-US"/>
        </w:rPr>
        <w:t xml:space="preserve">, both the slope and intercept parameters decreased with increasing temperature above the melting layer and through the “critical temperature range” from 0 °C to 1 </w:t>
      </w:r>
      <w:r w:rsidRPr="00CF0DF4">
        <w:rPr>
          <w:rFonts w:ascii="Nirmala UI" w:eastAsia="Noto Sans CJK SC" w:hAnsi="Nirmala UI" w:cs="Nirmala UI"/>
          <w:lang w:val="en-US"/>
        </w:rPr>
        <w:t>°C</w:t>
      </w:r>
      <w:r w:rsidRPr="00CF0DF4">
        <w:rPr>
          <w:rFonts w:eastAsia="Noto Sans CJK SC" w:cs="Times New Roman"/>
          <w:lang w:val="en-US"/>
        </w:rPr>
        <w:t xml:space="preserve">. As temperatures increased in the melting layer, the slope parameter continued to decrease, which is in contrast to the results from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{"citationID":"BJsoWHC3","properties":{"formattedCitation":"(Stewart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200 m thick existed at 0°C, and radar bright bands up to 36 dB(Ze) were measured. The largest concentrations of ice particles occurred near −5°C and snowflakes melted by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Stewart et al. (1984)</w:t>
      </w:r>
      <w:r w:rsidRPr="00CF0DF4">
        <w:rPr>
          <w:rFonts w:eastAsia="Noto Sans CJK SC" w:cs="Times New Roman"/>
          <w:lang w:val="en-US"/>
        </w:rPr>
        <w:fldChar w:fldCharType="end"/>
      </w:r>
      <w:r w:rsidRPr="00CF0DF4">
        <w:rPr>
          <w:rFonts w:eastAsia="Noto Sans CJK SC" w:cs="Times New Roman"/>
          <w:lang w:val="en-US"/>
        </w:rPr>
        <w:t xml:space="preserve"> where slope parameter was maximized at approximately 0 °C. Aggregation resulted in an increase of maximum diameter through the melting layer. Low relative humidity environments studied by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{"citationID":"T5o0Oww3","properties":{"formattedCitation":"(Heymsfield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gave insight on the roles of sublimation vs melting in temperatures exceeding 0 °C. Total </w:t>
      </w:r>
      <w:r w:rsidR="00781424">
        <w:rPr>
          <w:rFonts w:eastAsia="Noto Sans CJK SC" w:cs="Times New Roman"/>
          <w:lang w:val="en-US"/>
        </w:rPr>
        <w:t>hydrometeor</w:t>
      </w:r>
      <w:r w:rsidRPr="00CF0DF4">
        <w:rPr>
          <w:rFonts w:eastAsia="Noto Sans CJK SC" w:cs="Times New Roman"/>
          <w:lang w:val="en-US"/>
        </w:rPr>
        <w:t xml:space="preserve"> concentrations decreased in subsaturated environments suggesting sublimation was occurring. Contrasting clouds at or near saturation, the intercept parameter continued to decrease with increasing temperatures throughout the entire ascent or descent. Sublimation also caused the maximum diameter to decrease below 0 °C.</w:t>
      </w:r>
    </w:p>
    <w:p w14:paraId="5A66F123" w14:textId="06C80BA0" w:rsidR="00F71C70" w:rsidRPr="00CF0DF4" w:rsidRDefault="00F71C70" w:rsidP="00F71C70">
      <w:pPr>
        <w:pStyle w:val="Body"/>
        <w:rPr>
          <w:rFonts w:eastAsia="Noto Sans CJK SC" w:cs="Times New Roman"/>
          <w:lang w:val="en-US"/>
        </w:rPr>
      </w:pPr>
      <w:r w:rsidRPr="00CF0DF4">
        <w:rPr>
          <w:rFonts w:eastAsia="Noto Sans CJK SC" w:cs="Times New Roman"/>
          <w:lang w:val="en-US"/>
        </w:rPr>
        <w:lastRenderedPageBreak/>
        <w:fldChar w:fldCharType="begin"/>
      </w:r>
      <w:r w:rsidRPr="00CF0DF4">
        <w:rPr>
          <w:rFonts w:eastAsia="Noto Sans CJK SC" w:cs="Times New Roman"/>
          <w:lang w:val="en-US"/>
        </w:rPr>
        <w:instrText xml:space="preserve"> ADDIN ZOTERO_ITEM CSL_CITATION {"citationID":"RFdDT6OP","properties":{"formattedCitation":"(Heymsfield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used the available high quality </w:t>
      </w:r>
      <w:r w:rsidR="00781424">
        <w:rPr>
          <w:rFonts w:eastAsia="Noto Sans CJK SC" w:cs="Times New Roman"/>
          <w:lang w:val="en-US"/>
        </w:rPr>
        <w:t>hydrometeor</w:t>
      </w:r>
      <w:r w:rsidRPr="00CF0DF4">
        <w:rPr>
          <w:rFonts w:eastAsia="Noto Sans CJK SC" w:cs="Times New Roman"/>
          <w:lang w:val="en-US"/>
        </w:rPr>
        <w:t xml:space="preserve"> images to examine the area ratio within the melting layer. Area ratio is </w:t>
      </w:r>
      <w:r w:rsidRPr="00CF0DF4">
        <w:rPr>
          <w:lang w:val="en-US"/>
        </w:rPr>
        <w:t xml:space="preserve">the ratio of the imaged </w:t>
      </w:r>
      <w:r w:rsidR="00781424">
        <w:rPr>
          <w:lang w:val="en-US"/>
        </w:rPr>
        <w:t>hydrometeor</w:t>
      </w:r>
      <w:r w:rsidRPr="00CF0DF4">
        <w:rPr>
          <w:lang w:val="en-US"/>
        </w:rPr>
        <w:t xml:space="preserve"> area to the area of a circle fit to the </w:t>
      </w:r>
      <w:r w:rsidR="00781424">
        <w:rPr>
          <w:lang w:val="en-US"/>
        </w:rPr>
        <w:t>hydrometeor</w:t>
      </w:r>
      <w:r w:rsidRPr="00CF0DF4">
        <w:rPr>
          <w:lang w:val="en-US"/>
        </w:rPr>
        <w:t xml:space="preserve">’s “fast circle” diameter (more information on the processing is given in Chapter 2). As </w:t>
      </w:r>
      <w:r w:rsidR="00781424">
        <w:rPr>
          <w:lang w:val="en-US"/>
        </w:rPr>
        <w:t>hydrometeors</w:t>
      </w:r>
      <w:r w:rsidRPr="00CF0DF4">
        <w:rPr>
          <w:lang w:val="en-US"/>
        </w:rPr>
        <w:t xml:space="preserve"> melt, they become </w:t>
      </w:r>
      <w:proofErr w:type="gramStart"/>
      <w:r w:rsidRPr="00CF0DF4">
        <w:rPr>
          <w:lang w:val="en-US"/>
        </w:rPr>
        <w:t>more round</w:t>
      </w:r>
      <w:proofErr w:type="gramEnd"/>
      <w:r w:rsidRPr="00CF0DF4">
        <w:rPr>
          <w:lang w:val="en-US"/>
        </w:rPr>
        <w:t xml:space="preserve"> and area ratio increases. In a high (91 percent) relative humidity case, melting began around 0.5 °C and the area ratio started increasing for smaller (approximately 400 </w:t>
      </w:r>
      <w:r w:rsidRPr="00CF0DF4">
        <w:rPr>
          <w:rFonts w:eastAsia="DengXian" w:cs="Times New Roman"/>
          <w:lang w:val="en-US"/>
        </w:rPr>
        <w:t>µ</w:t>
      </w:r>
      <w:r w:rsidRPr="00CF0DF4">
        <w:rPr>
          <w:rFonts w:eastAsia="Noto Sans CJK SC" w:cs="Times New Roman"/>
          <w:lang w:val="en-US"/>
        </w:rPr>
        <w:t>m</w:t>
      </w:r>
      <w:r w:rsidRPr="00CF0DF4">
        <w:rPr>
          <w:lang w:val="en-US"/>
        </w:rPr>
        <w:t xml:space="preserve"> diameter) </w:t>
      </w:r>
      <w:r w:rsidR="00781424">
        <w:rPr>
          <w:lang w:val="en-US"/>
        </w:rPr>
        <w:t>hydrometeors</w:t>
      </w:r>
      <w:r w:rsidRPr="00CF0DF4">
        <w:rPr>
          <w:rFonts w:eastAsia="Noto Sans CJK SC" w:cs="Times New Roman"/>
          <w:lang w:val="en-US"/>
        </w:rPr>
        <w:t xml:space="preserve">. In contrast, for the low (70 percent) relative humidity case, the area ratio did not start increasing until approximately 2 °C. In both cases, melting began around an ice-bulb temperature of 0 °C, which is consistent with the proposal to use ice-bulb temperature as an indicator of melting by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{"citationID":"guIunHd8","properties":{"formattedCitation":"(Heymsfield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Also, both cases had maximum diameter peak just above and near the top of the melting layer, which suggests enhanced aggregation.</w:t>
      </w:r>
    </w:p>
    <w:p w14:paraId="3A3DB045" w14:textId="44FEDDE7" w:rsidR="00F71C70" w:rsidRPr="00CF0DF4" w:rsidRDefault="00F71C70" w:rsidP="00F71C70">
      <w:pPr>
        <w:pStyle w:val="Body"/>
        <w:rPr>
          <w:rFonts w:eastAsia="Noto Sans CJK SC" w:cs="Times New Roman"/>
          <w:lang w:val="en-US"/>
        </w:rPr>
      </w:pP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{"citationID":"KSs9pTwA","properties":{"formattedCitation":"(Heymsfield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xml:space="preserve"> investigated the influence of relative humidity on the melting layer, building on results from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{"citationID":"xfIrVF9M","properties":{"formattedCitation":"(Heymsfield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The relative humidity at the air temperature was compared to the relative humidity at the ice-bulb temperature. Noticeable melting commenced when both the ice-bulb temperature fell below the air temperature and when the relative humidity approached the relative humidity at the ice-bulb temperature.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{"citationID":"CA3hUin3","properties":{"formattedCitation":"(Heymsfield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xml:space="preserve"> concluded that relative humidity at the ice-bulb temperature was a good indicator of melting. From thirteen flights through the melting layer, precipitation phase and extent of melting was qualitatively assessed. </w:t>
      </w:r>
      <w:r w:rsidR="00781424">
        <w:rPr>
          <w:rFonts w:eastAsia="Noto Sans CJK SC" w:cs="Times New Roman"/>
          <w:lang w:val="en-US"/>
        </w:rPr>
        <w:t>Hydrometeors</w:t>
      </w:r>
      <w:r w:rsidRPr="00CF0DF4">
        <w:rPr>
          <w:rFonts w:eastAsia="Noto Sans CJK SC" w:cs="Times New Roman"/>
          <w:lang w:val="en-US"/>
        </w:rPr>
        <w:t xml:space="preserve"> categorized as “snow” are largely in the sublimation zone, although some “snow mostly” and rarely “mixed” </w:t>
      </w:r>
      <w:r w:rsidR="00781424">
        <w:rPr>
          <w:rFonts w:eastAsia="Noto Sans CJK SC" w:cs="Times New Roman"/>
          <w:lang w:val="en-US"/>
        </w:rPr>
        <w:t>hydrometeors</w:t>
      </w:r>
      <w:r w:rsidRPr="00CF0DF4">
        <w:rPr>
          <w:rFonts w:eastAsia="Noto Sans CJK SC" w:cs="Times New Roman"/>
          <w:lang w:val="en-US"/>
        </w:rPr>
        <w:t xml:space="preserve"> also reside in in the sublimation zone. This is possibly because the ice-bulb temperature was calculated assuming a pressure of 500 </w:t>
      </w:r>
      <w:proofErr w:type="spellStart"/>
      <w:r w:rsidRPr="00CF0DF4">
        <w:rPr>
          <w:rFonts w:eastAsia="Noto Sans CJK SC" w:cs="Times New Roman"/>
          <w:lang w:val="en-US"/>
        </w:rPr>
        <w:t>hPa</w:t>
      </w:r>
      <w:proofErr w:type="spellEnd"/>
      <w:r w:rsidRPr="00CF0DF4">
        <w:rPr>
          <w:rFonts w:eastAsia="Noto Sans CJK SC" w:cs="Times New Roman"/>
          <w:lang w:val="en-US"/>
        </w:rPr>
        <w:t xml:space="preserve">. A flight through the melting layer at an air pressure other than 500 </w:t>
      </w:r>
      <w:proofErr w:type="spellStart"/>
      <w:r w:rsidRPr="00CF0DF4">
        <w:rPr>
          <w:rFonts w:eastAsia="Noto Sans CJK SC" w:cs="Times New Roman"/>
          <w:lang w:val="en-US"/>
        </w:rPr>
        <w:t>hPa</w:t>
      </w:r>
      <w:proofErr w:type="spellEnd"/>
      <w:r w:rsidRPr="00CF0DF4">
        <w:rPr>
          <w:rFonts w:eastAsia="Noto Sans CJK SC" w:cs="Times New Roman"/>
          <w:lang w:val="en-US"/>
        </w:rPr>
        <w:t xml:space="preserve"> alters the actual ice-bulb temperature and thus relative humidity at the ice bulb temperature. Lower pressure enhances the </w:t>
      </w:r>
      <w:r w:rsidRPr="00CF0DF4">
        <w:rPr>
          <w:rFonts w:eastAsia="Noto Sans CJK SC" w:cs="Times New Roman"/>
          <w:lang w:val="en-US"/>
        </w:rPr>
        <w:lastRenderedPageBreak/>
        <w:t xml:space="preserve">effect of relative humidity on ice-bulb temperature, while at higher pressures the </w:t>
      </w:r>
      <w:r w:rsidR="00781424">
        <w:rPr>
          <w:rFonts w:eastAsia="Noto Sans CJK SC" w:cs="Times New Roman"/>
          <w:lang w:val="en-US"/>
        </w:rPr>
        <w:t>hydrometeors</w:t>
      </w:r>
      <w:r w:rsidRPr="00CF0DF4">
        <w:rPr>
          <w:rFonts w:eastAsia="Noto Sans CJK SC" w:cs="Times New Roman"/>
          <w:lang w:val="en-US"/>
        </w:rPr>
        <w:t xml:space="preserve"> would melt instead of sublimate at a lower temperature given the same relative humidity.</w:t>
      </w:r>
    </w:p>
    <w:p w14:paraId="6BA017C3" w14:textId="77777777" w:rsidR="00F71C70" w:rsidRPr="00CF0DF4" w:rsidRDefault="00F71C70" w:rsidP="00F71C70">
      <w:pPr>
        <w:pStyle w:val="Heading2"/>
        <w:rPr>
          <w:lang w:val="en-US"/>
        </w:rPr>
      </w:pPr>
      <w:bookmarkStart w:id="22" w:name="_Toc102411885"/>
      <w:bookmarkStart w:id="23" w:name="_Toc109123098"/>
      <w:r w:rsidRPr="00CF0DF4">
        <w:rPr>
          <w:lang w:val="en-US"/>
        </w:rPr>
        <w:t>1.5 Objective</w:t>
      </w:r>
      <w:bookmarkEnd w:id="22"/>
      <w:r w:rsidRPr="00CF0DF4">
        <w:rPr>
          <w:lang w:val="en-US"/>
        </w:rPr>
        <w:t>s</w:t>
      </w:r>
      <w:bookmarkEnd w:id="23"/>
    </w:p>
    <w:p w14:paraId="5F5FEACB" w14:textId="1B966576" w:rsidR="0031329A" w:rsidRPr="00CF0DF4" w:rsidRDefault="0031329A" w:rsidP="0031329A">
      <w:pPr>
        <w:pStyle w:val="Body"/>
        <w:rPr>
          <w:rFonts w:ascii="Liberation Serif" w:eastAsia="Noto Sans CJK SC" w:hAnsi="Liberation Serif" w:cs="Lohit Devanagari"/>
          <w:lang w:val="en-US"/>
        </w:rPr>
      </w:pPr>
      <w:r w:rsidRPr="00CF0DF4">
        <w:rPr>
          <w:rFonts w:ascii="Liberation Serif" w:eastAsia="Noto Sans CJK SC" w:hAnsi="Liberation Serif" w:cs="Lohit Devanagari"/>
          <w:lang w:val="en-US"/>
        </w:rPr>
        <w:t xml:space="preserve">While the snow melting process has been well studied, the process of snow transitioning to liquid drops in precipitating clouds is still not well understood. Due to difficulties </w:t>
      </w:r>
      <w:r>
        <w:rPr>
          <w:rFonts w:ascii="Liberation Serif" w:eastAsia="Noto Sans CJK SC" w:hAnsi="Liberation Serif" w:cs="Lohit Devanagari"/>
          <w:lang w:val="en-US"/>
        </w:rPr>
        <w:t>associated with the collection of</w:t>
      </w:r>
      <w:r w:rsidRPr="00CF0DF4">
        <w:rPr>
          <w:rFonts w:ascii="Liberation Serif" w:eastAsia="Noto Sans CJK SC" w:hAnsi="Liberation Serif" w:cs="Lohit Devanagari"/>
          <w:lang w:val="en-US"/>
        </w:rPr>
        <w:t xml:space="preserve"> precipitating cloud in-situ observations, research of the melting layer has largely been </w:t>
      </w:r>
      <w:r>
        <w:rPr>
          <w:rFonts w:ascii="Liberation Serif" w:eastAsia="Noto Sans CJK SC" w:hAnsi="Liberation Serif" w:cs="Lohit Devanagari"/>
          <w:lang w:val="en-US"/>
        </w:rPr>
        <w:t xml:space="preserve">conducted </w:t>
      </w:r>
      <w:r w:rsidRPr="00CF0DF4">
        <w:rPr>
          <w:rFonts w:ascii="Liberation Serif" w:eastAsia="Noto Sans CJK SC" w:hAnsi="Liberation Serif" w:cs="Lohit Devanagari"/>
          <w:lang w:val="en-US"/>
        </w:rPr>
        <w:t xml:space="preserve">through remote sensing or numerical simulation. Radar observations of the melting layer typically investigate the bright band radar signal. However, radar observations rely on retrieval algorithms to estimate rainfall rate and </w:t>
      </w:r>
      <w:r>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 (e.g. </w:t>
      </w:r>
      <w:r w:rsidRPr="00CF0DF4">
        <w:rPr>
          <w:rFonts w:ascii="Liberation Serif" w:eastAsia="Noto Sans CJK SC" w:hAnsi="Liberation Serif" w:cs="Lohit Devanagari"/>
          <w:lang w:val="en-US"/>
        </w:rPr>
        <w:fldChar w:fldCharType="begin"/>
      </w:r>
      <w:r w:rsidR="004D7575">
        <w:rPr>
          <w:rFonts w:ascii="Liberation Serif" w:eastAsia="Noto Sans CJK SC" w:hAnsi="Liberation Serif" w:cs="Lohit Devanagari"/>
          <w:lang w:val="en-US"/>
        </w:rPr>
        <w:instrText xml:space="preserve"> ADDIN ZOTERO_ITEM CSL_CITATION {"citationID":"O5scxZbQ","properties":{"formattedCitation":"(Chen and Chandrasekar 2014)","plainCitation":"(Chen and Chandrasekar 2014)","dontUpdate":true,"noteIndex":0},"citationItems":[{"id":312,"uris":["http://zotero.org/groups/4663654/items/NRKDR9RC"],"itemData":{"id":312,"type":"paper-conference","abstract":"Rainfall estimation using dual-polarization radars has shown a number of advantages over traditional single polarization radars. As the building blocks for deriving dual-polarization radar rainfall algorithms, the rain drop size distribution (DSD) has been studied over three decades. In this study, we present the estimation of DSD parameters using dual-polarization radar measurements at S-, X-, and Ku-band frequencies. Various DSD retrieval algorithms are implemented using the data collected by the S-band WSR-88DP/KFWS, X-band CASA/XUTA, and D3R Ku-band radars.","container-title":"2014 IEEE Geoscience and Remote Sensing Symposium","DOI":"10.1109/IGARSS.2014.6947613","event-title":"2014 IEEE Geoscience and Remote Sensing Symposium","note":"ISSN: 2153-7003","page":"4978-4981","source":"IEEE Xplore","title":"Estimation of rainfall drop size distribution from dual-polarization measurements at S-band, X-band, and Ku-band radar frequencies","author":[{"family":"Chen","given":"Haonan"},{"family":"Chandrasekar","given":"V."}],"issued":{"date-parts":[["2014",7]]}}}],"schema":"https://github.com/citation-style-language/schema/raw/master/csl-citation.json"}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Chen and Chandrasekar 2014)</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In-situ observations provide details to improve retrieval algorithms and verify radar observations. Similarly, the development of microphysics parameterization schemes in numerical models is based on observations (e.g.,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{"citationID":"fHY4dg0i","properties":{"formattedCitation":"(Khain et al. 2000; Thompson et al. 2008; Morrison et al. 2015; Iversen et al. 2021)","plainCitation":"(Khain et al. 2000; Thompson et al. 2008; Morrison et al. 2015; Iversen et al. 2021)","noteIndex":0},"citationItems":[{"id":327,"uris":["http://zotero.org/groups/4663654/items/YXSJ6RUM"],"itemData":{"id":327,"type":"article-journal","abstract":"Despite significant advances in cloud physics, many problems exist in the state-of-the-art microphysical cloud modeling. The progress is hampered by (1) many remaining gaps and uncertainties in our knowledge of cloud microphysics and (2) limitations of numerical approaches in representing some of known microphysical processes. In this paper, we attempt to give an assessment of several important problems of warm and ice microphysics and model limitations and identify areas where improvements are most urgently needed. Because of the complexity and broadness of the subject, the review does not offer an exhausted analysis of the field or provide solutions for all discussed problems. We are concerned with the spectral (bin) microphysical approach, which does not restrict the particle size spectra to any particular shape and, therefore, claims to reproduce formation of size spectra of cloud particles.","container-title":"Atmospheric Research","DOI":"10.1016/S0169-8095(00)00064-8","ISSN":"0169-8095","issue":"3","journalAbbreviation":"Atmospheric Research","language":"en","page":"159-224","source":"ScienceDirect","title":"Notes on the state-of-the-art numerical modeling of cloud microphysics","volume":"55","author":[{"family":"Khain","given":"A."},{"family":"Ovtchinnikov","given":"M."},{"family":"Pinsky","given":"M."},{"family":"Pokrovsky","given":"A."},{"family":"Krugliak","given":"H."}],"issued":{"date-parts":[["2000",12,1]]}}},{"id":324,"uris":["http://zotero.org/groups/4663654/items/I2B7ASQT"],"itemData":{"id":324,"type":"article-journal","abstract":"Abstract A new bulk microphysical parameterization (BMP) has been developed for use with the Weather Research and Forecasting (WRF) Model or other mesoscale models. As compared with earlier single-moment BMPs, the new scheme incorporates a large number of improvements to both physical processes and computer coding, and it employs many techniques found in far more sophisticated spectral/bin schemes using lookup tables. Unlike any other BMP, the assumed snow size distribution depends on both ice water content and temperature and is represented as a sum of exponential and gamma distributions. Furthermore, snow assumes a nonspherical shape with a bulk density that varies inversely with diameter as found in observations and in contrast to nearly all other BMPs that assume spherical snow with constant density. The new scheme’s snow category was readily modified to match previous research in sensitivity experiments designed to test the sphericity and distribution shape characteristics. From analysis of four idealized sensitivity experiments, it was determined that the sphericity and constant density assumptions play a major role in producing supercooled liquid water whereas the assumed distribution shape plays a lesser, but nonnegligible, role. Further testing using numerous case studies and comparing model results with in situ and other observations confirmed the results of the idealized experiments and are briefly mentioned herein, but more detailed, microphysical comparisons with observations are found in a companion paper in this series (Part III, forthcoming).","container-title":"Monthly Weather Review","DOI":"10.1175/2008MWR2387.1","ISSN":"1520-0493, 0027-0644","issue":"12","language":"EN","note":"publisher: American Meteorological Society\nsection: Monthly Weather Review","page":"5095-5115","source":"journals.ametsoc.org","title":"Explicit Forecasts of Winter Precipitation Using an Improved Bulk Microphysics Scheme. Part II: Implementation of a New Snow Parameterization","title-short":"Explicit Forecasts of Winter Precipitation Using an Improved Bulk Microphysics Scheme. Part II","volume":"136","author":[{"family":"Thompson","given":"Gregory"},{"family":"Field","given":"Paul R."},{"family":"Rasmussen","given":"Roy M."},{"family":"Hall","given":"William D."}],"issued":{"date-parts":[["2008",12,1]]}}},{"id":328,"uris":["http://zotero.org/groups/4663654/items/6XRFEKMW"],"itemData":{"id":328,"type":"article-journal","abstract":"Abstract A new microphysics scheme has been developed based on the prediction of bulk particle properties for a single ice-phase category, in contrast to the traditional approach of separating ice into various predefined species (e.g., cloud ice, snow, and graupel). In this paper, the new predicted particle properties (P3) scheme, described in Part I of this series, is tested in three-dimensional simulations using the Weather Research and Forecasting (WRF) Model for two contrasting well-observed cases: a midlatitude squall line and winter orographic precipitation. Results are also compared with simulations using other schemes in WRF. Simulations with P3 can produce a wide variety of particle characteristics despite having only one free ice-phase category. For the squall line, it produces dense, fast-falling, hail-like ice near convective updraft cores and lower-density, slower-falling ice elsewhere. Sensitivity tests show that this is critical for simulating high precipitation rates observed along the leading edge of the storm. In contrast, schemes that represent rimed ice as graupel, with lower fall speeds than hail, produce lower peak precipitation rates and wider, less distinct, and less realistic regions of high convective reflectivity. For the orographic precipitation case, P3 produces areas of relatively fast-falling ice with characteristics of rimed snow and low- to medium-density graupel on the windward slope. This leads to less precipitation on leeward slopes and more on windward slopes compared to the other schemes that produce large amounts of snow relative to graupel (with generally the opposite for schemes with significant graupel relative to snow). Overall, the new scheme produces reasonable results for a reduced computational cost.","container-title":"Journal of the Atmospheric Sciences","DOI":"10.1175/JAS-D-14-0066.1","ISSN":"0022-4928, 1520-0469","issue":"1","language":"EN","note":"publisher: American Meteorological Society\nsection: Journal of the Atmospheric Sciences","page":"312-339","source":"journals.ametsoc.org","title":"Parameterization of Cloud Microphysics Based on the Prediction of Bulk Ice Particle Properties. Part II: Case Study Comparisons with Observations and Other Schemes","title-short":"Parameterization of Cloud Microphysics Based on the Prediction of Bulk Ice Particle Properties. Part II","volume":"72","author":[{"family":"Morrison","given":"Hugh"},{"family":"Milbrandt","given":"Jason A."},{"family":"Bryan","given":"George H."},{"family":"Ikeda","given":"Kyoko"},{"family":"Tessendorf","given":"Sarah A."},{"family":"Thompson","given":"Gregory"}],"issued":{"date-parts":[["2015",1,1]]}}},{"id":167,"uris":["http://zotero.org/groups/4663654/items/KL8LRKHQ"],"itemData":{"id":167,"type":"article-journal","abstract":"Snow falling into a melting layer will eventually consist of a fraction of meltwater and hence change its characteristics in terms of size, shape, density and fall speed. Most microphysical parameterizations in numerical weather prediction models typically only represent purely solid or liquid hydrometeors. Generally, this has been an acceptable compromise since the melting layer is typically very shallow and adding a mixed solid/liquid particle type would result in increased computational time. This research shows how improvements were made to the treatment of melting snow in a microphysical parameterization within the Weather Research and Forecasting (WRF) model by implementing an approximation of snowflake melted fraction together with a physically-based expression for melting particle terminal velocity. In addition, the more appropriate definition of melting level defined by the wet-bulb temperature was consistently used in various process rates, all while not adding additional prognostic variables that would add computational cost. Multiple events observed during the 2015–2016 Olympic Mountain Experiment (OLYMPEX) were used to compare with the WRF model results. The modified scheme is able to represent disdrometer observations of joint particle size and fall velocity during wet snow events, as well as fall velocity profiles through the melting layer derived from a vertically-pointing radar. The improved scheme removes ‘bulls’ eyes' of snow accumulation in lee-side areas within the melting zone, and should result in better predictions of surface precipitation phase and amount.","container-title":"Atmospheric Research","DOI":"10.1016/j.atmosres.2021.105471","ISSN":"0169-8095","journalAbbreviation":"Atmospheric Research","language":"en","page":"105471","source":"ScienceDirect","title":"Improvements to melting snow behavior in a bulk microphysics scheme","volume":"253","author":[{"family":"Iversen","given":"Emilie C."},{"family":"Thompson","given":"Gregory"},{"family":"Nygaard","given":"Bjørn Egil"}],"issued":{"date-parts":[["2021",5,1]]}}}],"schema":"https://github.com/citation-style-language/schema/raw/master/csl-citation.json"}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(Khain et al. 2000; Thompson et al. 2008; Morrison et al. 2015; Iversen et al. 2021)</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A better </w:t>
      </w:r>
      <w:r>
        <w:rPr>
          <w:rFonts w:ascii="Liberation Serif" w:eastAsia="Noto Sans CJK SC" w:hAnsi="Liberation Serif" w:cs="Lohit Devanagari"/>
          <w:lang w:val="en-US"/>
        </w:rPr>
        <w:t xml:space="preserve">model </w:t>
      </w:r>
      <w:r w:rsidRPr="00CF0DF4">
        <w:rPr>
          <w:rFonts w:ascii="Liberation Serif" w:eastAsia="Noto Sans CJK SC" w:hAnsi="Liberation Serif" w:cs="Lohit Devanagari"/>
          <w:lang w:val="en-US"/>
        </w:rPr>
        <w:t xml:space="preserve">representation of the microphysics based on in-situ observations can help limit assumptions and verify accuracy of simulation results (e.g.,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{"citationID":"n1EwDVKr","properties":{"formattedCitation":"(Tapiador et al. 2019)","plainCitation":"(Tapiador et al. 2019)","dontUpdate":true,"noteIndex":0},"citationItems":[{"id":332,"uris":["http://zotero.org/groups/4663654/items/XED7DM3J"],"itemData":{"id":332,"type":"article-journal","abstract":"The microphysics of precipitation has to be parameterized in Earth System Models (ESM), Global Circulation/Climate Models (GCMs), Cloud Resolving Models (CRMs), Regional Climate Models (RCMs), and Numerical Weather Prediction (NWP) models since the relevant physical processes operate at centimeter scale, thus well below the finest model grid size. While more than 20 bulk microphysics schemes have been described in the literature, they all have a number of empirical values and work under a set of reasonable assumptions that treat the problems in a simplified way. This paper discusses these choices in order to present a homogenous account of the physics within the parameterizations, and illustrates how observations can help improve our present understanding of precipitation physics. The Weather and Forecasting Research model (WRF), and the Community Atmosphere Model (CAM) in the Community Earth System Model (CESM) are used as prototypes of full-confidence models. This contribution can also help frame and advance research into the human-induced, ongoing climate change as those parameterizations are instrumental for the appropriate ESM modeling of future climates.","container-title":"Atmospheric Research","DOI":"10.1016/j.atmosres.2018.09.010","ISSN":"0169-8095","journalAbbreviation":"Atmospheric Research","language":"en","page":"214-238","source":"ScienceDirect","title":"Empirical values and assumptions in the microphysics of numerical models","volume":"215","author":[{"family":"Tapiador","given":"Francisco J."},{"family":"Sánchez","given":"José-Luis"},{"family":"García-Ortega","given":"Eduardo"}],"issued":{"date-parts":[["2019",1,1]]}}}],"schema":"https://github.com/citation-style-language/schema/raw/master/csl-citation.json"}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Tapiador et al. 2019)</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Thus, in-situ observations through the melting layer are valuable to improving the representation of microphysical processes within the melting layer.</w:t>
      </w:r>
    </w:p>
    <w:p w14:paraId="4985CB2D" w14:textId="7DBF4E2D" w:rsidR="00365556" w:rsidRPr="00CF0DF4" w:rsidRDefault="0031329A" w:rsidP="0031329A">
      <w:pPr>
        <w:pStyle w:val="Body"/>
        <w:widowControl w:val="0"/>
        <w:rPr>
          <w:rFonts w:ascii="Liberation Serif" w:eastAsia="Noto Sans CJK SC" w:hAnsi="Liberation Serif" w:cs="Lohit Devanagari"/>
          <w:lang w:val="en-US"/>
        </w:rPr>
      </w:pPr>
      <w:r w:rsidRPr="00CF0DF4">
        <w:rPr>
          <w:rFonts w:ascii="Liberation Serif" w:eastAsia="Noto Sans CJK SC" w:hAnsi="Liberation Serif" w:cs="Lohit Devanagari"/>
          <w:lang w:val="en-US"/>
        </w:rPr>
        <w:t>The objective</w:t>
      </w:r>
      <w:r>
        <w:rPr>
          <w:rFonts w:ascii="Liberation Serif" w:eastAsia="Noto Sans CJK SC" w:hAnsi="Liberation Serif" w:cs="Lohit Devanagari"/>
          <w:lang w:val="en-US"/>
        </w:rPr>
        <w:t xml:space="preserve"> of this study</w:t>
      </w:r>
      <w:r w:rsidRPr="00CF0DF4">
        <w:rPr>
          <w:rFonts w:ascii="Liberation Serif" w:eastAsia="Noto Sans CJK SC" w:hAnsi="Liberation Serif" w:cs="Lohit Devanagari"/>
          <w:lang w:val="en-US"/>
        </w:rPr>
        <w:t xml:space="preserve"> is to extend previous in-situ analysis of the melting layer by characterizing the </w:t>
      </w:r>
      <w:r>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w:t>
      </w:r>
      <w:r>
        <w:rPr>
          <w:rFonts w:ascii="Liberation Serif" w:eastAsia="Noto Sans CJK SC" w:hAnsi="Liberation Serif" w:cs="Lohit Devanagari"/>
          <w:lang w:val="en-US"/>
        </w:rPr>
        <w:t>s</w:t>
      </w:r>
      <w:r w:rsidRPr="00CF0DF4">
        <w:rPr>
          <w:rFonts w:ascii="Liberation Serif" w:eastAsia="Noto Sans CJK SC" w:hAnsi="Liberation Serif" w:cs="Lohit Devanagari"/>
          <w:lang w:val="en-US"/>
        </w:rPr>
        <w:t xml:space="preserve"> and area ratios using observations from several field campaigns conducted by National Aeronautics and Space Administration (NASA). The field campaigns offer direct observations of precipitating clouds and the melting layer in a variety of environments and storm types. Instrument</w:t>
      </w:r>
      <w:r>
        <w:rPr>
          <w:rFonts w:ascii="Liberation Serif" w:eastAsia="Noto Sans CJK SC" w:hAnsi="Liberation Serif" w:cs="Lohit Devanagari"/>
          <w:lang w:val="en-US"/>
        </w:rPr>
        <w:t>s</w:t>
      </w:r>
      <w:r w:rsidRPr="00CF0DF4">
        <w:rPr>
          <w:rFonts w:ascii="Liberation Serif" w:eastAsia="Noto Sans CJK SC" w:hAnsi="Liberation Serif" w:cs="Lohit Devanagari"/>
          <w:lang w:val="en-US"/>
        </w:rPr>
        <w:t xml:space="preserve"> aboard aircraft profiling the melting layers provide detailed microphysics and thermodynamics data. Data analysis is conducted to determine when </w:t>
      </w:r>
      <w:r>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have melted and the impact of ambient relative humidity on the melting process, </w:t>
      </w:r>
      <w:r w:rsidRPr="00CF0DF4">
        <w:rPr>
          <w:rFonts w:ascii="Liberation Serif" w:eastAsia="Noto Sans CJK SC" w:hAnsi="Liberation Serif" w:cs="Lohit Devanagari"/>
          <w:lang w:val="en-US"/>
        </w:rPr>
        <w:lastRenderedPageBreak/>
        <w:t xml:space="preserve">following the methods described by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{"citationID":"LpWRigAu","properties":{"formattedCitation":"(Heymsfield et al. 2015, 2021)","plainCitation":"(Heymsfield et al. 2015, 2021)","dontUpdate":true,"noteIndex":0},"citationItems":[{"id":28,"uris":["http://zotero.org/users/8639581/items/UCZRTHEJ"],"itemData":{"id":28,"type":"article-journal","abstract":"Abstract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Heymsfield et al. (2015, 2021)</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The determined relative humidity effect can be incorporated into numerical models to improve weather forecasts. Understanding the evolution of the </w:t>
      </w:r>
      <w:r>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 through the melting layer can improve rainfall estimates from radar observations, which are critical in the melting layer where there is enhanced radar reflectivity due to the bright band signal. </w:t>
      </w:r>
      <w:r w:rsidR="00365556" w:rsidRPr="00CF0DF4">
        <w:rPr>
          <w:lang w:val="en-US"/>
        </w:rPr>
        <w:br w:type="page"/>
      </w:r>
    </w:p>
    <w:p w14:paraId="3302B66E" w14:textId="0D5038A1" w:rsidR="00DC03CF" w:rsidRPr="00CF0DF4" w:rsidRDefault="002C78A2" w:rsidP="00592FF5">
      <w:pPr>
        <w:pStyle w:val="Heading1"/>
        <w:rPr>
          <w:lang w:val="en-US"/>
        </w:rPr>
      </w:pPr>
      <w:bookmarkStart w:id="24" w:name="_Toc109123099"/>
      <w:bookmarkEnd w:id="9"/>
      <w:r w:rsidRPr="00CF0DF4">
        <w:rPr>
          <w:lang w:val="en-US"/>
        </w:rPr>
        <w:lastRenderedPageBreak/>
        <w:t>CHAPTER 2</w:t>
      </w:r>
      <w:r w:rsidR="00592FF5" w:rsidRPr="00CF0DF4">
        <w:rPr>
          <w:lang w:val="en-US"/>
        </w:rPr>
        <w:br/>
      </w:r>
      <w:r w:rsidRPr="00CF0DF4">
        <w:rPr>
          <w:lang w:val="en-US"/>
        </w:rPr>
        <w:t>DATA</w:t>
      </w:r>
      <w:bookmarkEnd w:id="24"/>
    </w:p>
    <w:p w14:paraId="5FD7FF50" w14:textId="7BE8A78A" w:rsidR="002C78A2" w:rsidRPr="00CF0DF4" w:rsidRDefault="002C78A2" w:rsidP="002C78A2">
      <w:pPr>
        <w:pStyle w:val="Heading2"/>
        <w:rPr>
          <w:lang w:val="en-US"/>
        </w:rPr>
      </w:pPr>
      <w:bookmarkStart w:id="25" w:name="_Toc109123100"/>
      <w:r w:rsidRPr="00CF0DF4">
        <w:rPr>
          <w:lang w:val="en-US"/>
        </w:rPr>
        <w:t xml:space="preserve">2.1 Data </w:t>
      </w:r>
      <w:r w:rsidR="00B9140C" w:rsidRPr="00CF0DF4">
        <w:rPr>
          <w:lang w:val="en-US"/>
        </w:rPr>
        <w:t>S</w:t>
      </w:r>
      <w:r w:rsidRPr="00CF0DF4">
        <w:rPr>
          <w:lang w:val="en-US"/>
        </w:rPr>
        <w:t>et</w:t>
      </w:r>
      <w:bookmarkEnd w:id="25"/>
    </w:p>
    <w:p w14:paraId="55F053D1" w14:textId="43C789B0" w:rsidR="00A53B53" w:rsidRPr="00CF0DF4" w:rsidRDefault="4B8E3DB4" w:rsidP="009C79EB">
      <w:pPr>
        <w:pStyle w:val="Body"/>
        <w:rPr>
          <w:lang w:val="en-US"/>
        </w:rPr>
      </w:pPr>
      <w:r w:rsidRPr="00CF0DF4">
        <w:rPr>
          <w:rFonts w:ascii="Liberation Serif" w:hAnsi="Liberation Serif"/>
          <w:color w:val="000000"/>
          <w:lang w:val="en-US"/>
        </w:rPr>
        <w:t>The analysis focuse</w:t>
      </w:r>
      <w:r w:rsidR="768F53F1" w:rsidRPr="00CF0DF4">
        <w:rPr>
          <w:rFonts w:ascii="Liberation Serif" w:hAnsi="Liberation Serif"/>
          <w:color w:val="000000"/>
          <w:lang w:val="en-US"/>
        </w:rPr>
        <w:t>s</w:t>
      </w:r>
      <w:r w:rsidRPr="00CF0DF4">
        <w:rPr>
          <w:rFonts w:ascii="Liberation Serif" w:hAnsi="Liberation Serif"/>
          <w:color w:val="000000"/>
          <w:lang w:val="en-US"/>
        </w:rPr>
        <w:t xml:space="preserve"> on </w:t>
      </w:r>
      <w:r w:rsidR="349BA34B" w:rsidRPr="00CF0DF4">
        <w:rPr>
          <w:rFonts w:ascii="Liberation Serif" w:hAnsi="Liberation Serif"/>
          <w:color w:val="000000"/>
          <w:lang w:val="en-US"/>
        </w:rPr>
        <w:t xml:space="preserve">data from </w:t>
      </w:r>
      <w:r w:rsidR="64303B0B" w:rsidRPr="00CF0DF4">
        <w:rPr>
          <w:rFonts w:ascii="Liberation Serif" w:hAnsi="Liberation Serif"/>
          <w:color w:val="000000"/>
          <w:lang w:val="en-US"/>
        </w:rPr>
        <w:t>several</w:t>
      </w:r>
      <w:r w:rsidR="349BA34B" w:rsidRPr="00CF0DF4">
        <w:rPr>
          <w:rFonts w:ascii="Liberation Serif" w:hAnsi="Liberation Serif"/>
          <w:color w:val="000000"/>
          <w:lang w:val="en-US"/>
        </w:rPr>
        <w:t xml:space="preserve"> NASA field campaigns </w:t>
      </w:r>
      <w:r w:rsidR="7FB6E9D5" w:rsidRPr="00CF0DF4">
        <w:rPr>
          <w:lang w:val="en-US"/>
        </w:rPr>
        <w:t>spanning</w:t>
      </w:r>
      <w:r w:rsidR="6545C101" w:rsidRPr="00CF0DF4">
        <w:rPr>
          <w:lang w:val="en-US"/>
        </w:rPr>
        <w:t xml:space="preserve"> </w:t>
      </w:r>
      <w:r w:rsidR="77EB9B39" w:rsidRPr="00CF0DF4">
        <w:rPr>
          <w:lang w:val="en-US"/>
        </w:rPr>
        <w:t>ten</w:t>
      </w:r>
      <w:r w:rsidR="6545C101" w:rsidRPr="00CF0DF4">
        <w:rPr>
          <w:lang w:val="en-US"/>
        </w:rPr>
        <w:t xml:space="preserve"> years from 20</w:t>
      </w:r>
      <w:r w:rsidR="77EB9B39" w:rsidRPr="00CF0DF4">
        <w:rPr>
          <w:lang w:val="en-US"/>
        </w:rPr>
        <w:t>1</w:t>
      </w:r>
      <w:r w:rsidR="6545C101" w:rsidRPr="00CF0DF4">
        <w:rPr>
          <w:lang w:val="en-US"/>
        </w:rPr>
        <w:t>1 to 2020</w:t>
      </w:r>
      <w:r w:rsidR="7582DA62" w:rsidRPr="00CF0DF4">
        <w:rPr>
          <w:lang w:val="en-US"/>
        </w:rPr>
        <w:t xml:space="preserve"> (</w:t>
      </w:r>
      <w:r w:rsidR="00A4467B">
        <w:rPr>
          <w:lang w:val="en-US"/>
        </w:rPr>
        <w:fldChar w:fldCharType="begin"/>
      </w:r>
      <w:r w:rsidR="00A4467B">
        <w:rPr>
          <w:lang w:val="en-US"/>
        </w:rPr>
        <w:instrText xml:space="preserve"> REF _Ref106170499 \h </w:instrText>
      </w:r>
      <w:r w:rsidR="00A4467B">
        <w:rPr>
          <w:lang w:val="en-US"/>
        </w:rPr>
      </w:r>
      <w:r w:rsidR="00A4467B">
        <w:rPr>
          <w:lang w:val="en-US"/>
        </w:rPr>
        <w:fldChar w:fldCharType="separate"/>
      </w:r>
      <w:r w:rsidR="00DB4BE3" w:rsidRPr="00CF0DF4">
        <w:rPr>
          <w:lang w:val="en-US"/>
        </w:rPr>
        <w:t xml:space="preserve">Table </w:t>
      </w:r>
      <w:r w:rsidR="00DB4BE3">
        <w:rPr>
          <w:noProof/>
          <w:lang w:val="en-US"/>
        </w:rPr>
        <w:t>1</w:t>
      </w:r>
      <w:r w:rsidR="00A4467B">
        <w:rPr>
          <w:lang w:val="en-US"/>
        </w:rPr>
        <w:fldChar w:fldCharType="end"/>
      </w:r>
      <w:r w:rsidR="7582DA62" w:rsidRPr="00CF0DF4">
        <w:rPr>
          <w:lang w:val="en-US"/>
        </w:rPr>
        <w:t>)</w:t>
      </w:r>
      <w:r w:rsidR="35B20288" w:rsidRPr="00CF0DF4">
        <w:rPr>
          <w:lang w:val="en-US"/>
        </w:rPr>
        <w:t>.</w:t>
      </w:r>
      <w:r w:rsidR="64303B0B" w:rsidRPr="00CF0DF4">
        <w:rPr>
          <w:lang w:val="en-US"/>
        </w:rPr>
        <w:t xml:space="preserve"> </w:t>
      </w:r>
      <w:r w:rsidR="009C79EB" w:rsidRPr="00CF0DF4">
        <w:rPr>
          <w:lang w:val="en-US"/>
        </w:rPr>
        <w:t xml:space="preserve">The University of North Dakota Citation II Research Aircraft </w:t>
      </w:r>
      <w:r w:rsidR="009C79EB">
        <w:rPr>
          <w:lang w:val="en-US"/>
        </w:rPr>
        <w:t>was</w:t>
      </w:r>
      <w:r w:rsidR="009C79EB" w:rsidRPr="00CF0DF4">
        <w:rPr>
          <w:lang w:val="en-US"/>
        </w:rPr>
        <w:t xml:space="preserve"> used during four of the five </w:t>
      </w:r>
      <w:proofErr w:type="gramStart"/>
      <w:r w:rsidR="009C79EB" w:rsidRPr="00CF0DF4">
        <w:rPr>
          <w:lang w:val="en-US"/>
        </w:rPr>
        <w:t>campaigns,</w:t>
      </w:r>
      <w:r w:rsidR="00A43FCF">
        <w:rPr>
          <w:lang w:val="en-US"/>
        </w:rPr>
        <w:t xml:space="preserve"> </w:t>
      </w:r>
      <w:r w:rsidR="009C79EB" w:rsidRPr="00CF0DF4">
        <w:rPr>
          <w:lang w:val="en-US"/>
        </w:rPr>
        <w:t>and</w:t>
      </w:r>
      <w:proofErr w:type="gramEnd"/>
      <w:r w:rsidR="009C79EB" w:rsidRPr="00CF0DF4">
        <w:rPr>
          <w:lang w:val="en-US"/>
        </w:rPr>
        <w:t xml:space="preserve"> </w:t>
      </w:r>
      <w:r w:rsidR="009C79EB">
        <w:rPr>
          <w:lang w:val="en-US"/>
        </w:rPr>
        <w:t>wa</w:t>
      </w:r>
      <w:r w:rsidR="009C79EB" w:rsidRPr="00CF0DF4">
        <w:rPr>
          <w:lang w:val="en-US"/>
        </w:rPr>
        <w:t>s equipped with a variety of instrumentation for measuring clouds (</w:t>
      </w:r>
      <w:r w:rsidR="009C79EB" w:rsidRPr="00CF0DF4">
        <w:rPr>
          <w:highlight w:val="darkRed"/>
          <w:lang w:val="en-US"/>
        </w:rPr>
        <w:fldChar w:fldCharType="begin"/>
      </w:r>
      <w:r w:rsidR="009C79EB" w:rsidRPr="00CF0DF4">
        <w:rPr>
          <w:lang w:val="en-US"/>
        </w:rPr>
        <w:instrText xml:space="preserve"> REF _Ref106218510 \h </w:instrText>
      </w:r>
      <w:r w:rsidR="009C79EB" w:rsidRPr="00CF0DF4">
        <w:rPr>
          <w:highlight w:val="darkRed"/>
          <w:lang w:val="en-US"/>
        </w:rPr>
      </w:r>
      <w:r w:rsidR="009C79EB" w:rsidRPr="00CF0DF4">
        <w:rPr>
          <w:highlight w:val="darkRed"/>
          <w:lang w:val="en-US"/>
        </w:rPr>
        <w:fldChar w:fldCharType="separate"/>
      </w:r>
      <w:r w:rsidR="00DB4BE3" w:rsidRPr="00CF0DF4">
        <w:t xml:space="preserve">Figure </w:t>
      </w:r>
      <w:r w:rsidR="00DB4BE3">
        <w:rPr>
          <w:noProof/>
        </w:rPr>
        <w:t>1</w:t>
      </w:r>
      <w:r w:rsidR="009C79EB" w:rsidRPr="00CF0DF4">
        <w:rPr>
          <w:highlight w:val="darkRed"/>
          <w:lang w:val="en-US"/>
        </w:rPr>
        <w:fldChar w:fldCharType="end"/>
      </w:r>
      <w:r w:rsidR="009C79EB" w:rsidRPr="00CF0DF4">
        <w:rPr>
          <w:lang w:val="en-US"/>
        </w:rPr>
        <w:t xml:space="preserve">). The NASA P3 Research Aircraft used during IMPACTS is similarly equipped. Instruments aboard aircraft measure standard atmospheric variables (e.g., pressure, altitude, temperature, dew point temperature, relative humidity, etc.), liquid and ice water content, and cloud microphysics parameters. The air temperature is measured by the Rosemount probe and the dew point temperature is measured by the </w:t>
      </w:r>
      <w:proofErr w:type="spellStart"/>
      <w:r w:rsidR="009C79EB" w:rsidRPr="00CF0DF4">
        <w:rPr>
          <w:lang w:val="en-US"/>
        </w:rPr>
        <w:t>Edgetech</w:t>
      </w:r>
      <w:proofErr w:type="spellEnd"/>
      <w:r w:rsidR="009C79EB" w:rsidRPr="00CF0DF4">
        <w:rPr>
          <w:lang w:val="en-US"/>
        </w:rPr>
        <w:t xml:space="preserve"> (EG&amp;G) Probe. </w:t>
      </w:r>
    </w:p>
    <w:p w14:paraId="6BE80CF3" w14:textId="63BA7C3E" w:rsidR="00666BB4" w:rsidRPr="00CF0DF4" w:rsidRDefault="00E43599" w:rsidP="00AE7E6D">
      <w:pPr>
        <w:pStyle w:val="Caption-Table"/>
        <w:rPr>
          <w:lang w:val="en-US"/>
        </w:rPr>
      </w:pPr>
      <w:bookmarkStart w:id="26" w:name="_Ref106170499"/>
      <w:bookmarkStart w:id="27" w:name="_Toc109123148"/>
      <w:bookmarkStart w:id="28" w:name="_Toc109123155"/>
      <w:r w:rsidRPr="00CF0DF4">
        <w:rPr>
          <w:lang w:val="en-US"/>
        </w:rPr>
        <w:t>Table</w:t>
      </w:r>
      <w:r w:rsidR="00556CF1" w:rsidRPr="00CF0DF4">
        <w:rPr>
          <w:lang w:val="en-US"/>
        </w:rPr>
        <w:t xml:space="preserve"> </w:t>
      </w:r>
      <w:r w:rsidR="00337015" w:rsidRPr="00CF0DF4">
        <w:rPr>
          <w:lang w:val="en-US"/>
        </w:rPr>
        <w:fldChar w:fldCharType="begin"/>
      </w:r>
      <w:r w:rsidR="00337015" w:rsidRPr="00CF0DF4">
        <w:rPr>
          <w:lang w:val="en-US"/>
        </w:rPr>
        <w:instrText xml:space="preserve"> SEQ Table \* ARABIC </w:instrText>
      </w:r>
      <w:r w:rsidR="00337015" w:rsidRPr="00CF0DF4">
        <w:rPr>
          <w:lang w:val="en-US"/>
        </w:rPr>
        <w:fldChar w:fldCharType="separate"/>
      </w:r>
      <w:r w:rsidR="00DB4BE3">
        <w:rPr>
          <w:noProof/>
          <w:lang w:val="en-US"/>
        </w:rPr>
        <w:t>1</w:t>
      </w:r>
      <w:r w:rsidR="00337015" w:rsidRPr="00CF0DF4">
        <w:rPr>
          <w:lang w:val="en-US"/>
        </w:rPr>
        <w:fldChar w:fldCharType="end"/>
      </w:r>
      <w:bookmarkEnd w:id="26"/>
      <w:r w:rsidRPr="00CF0DF4">
        <w:rPr>
          <w:lang w:val="en-US"/>
        </w:rPr>
        <w:t xml:space="preserve">: </w:t>
      </w:r>
      <w:r w:rsidR="0035436A" w:rsidRPr="00CF0DF4">
        <w:rPr>
          <w:lang w:val="en-US"/>
        </w:rPr>
        <w:t xml:space="preserve">Table </w:t>
      </w:r>
      <w:r w:rsidR="00635A79" w:rsidRPr="00CF0DF4">
        <w:rPr>
          <w:lang w:val="en-US"/>
        </w:rPr>
        <w:t xml:space="preserve">summarizing </w:t>
      </w:r>
      <w:r w:rsidR="00383AFA" w:rsidRPr="00CF0DF4">
        <w:rPr>
          <w:lang w:val="en-US"/>
        </w:rPr>
        <w:t xml:space="preserve">fields projects where cloud sampling was conducted using cloud physics probes. </w:t>
      </w:r>
      <w:r w:rsidR="00A86B77" w:rsidRPr="00CF0DF4">
        <w:rPr>
          <w:lang w:val="en-US"/>
        </w:rPr>
        <w:t>Field project acronyms used are Mid-latitude Continental Convective Clouds Experiment (MC3E);</w:t>
      </w:r>
      <w:r w:rsidR="00C02229" w:rsidRPr="00CF0DF4">
        <w:rPr>
          <w:lang w:val="en-US"/>
        </w:rPr>
        <w:t xml:space="preserve"> </w:t>
      </w:r>
      <w:r w:rsidR="00D0550B" w:rsidRPr="00CF0DF4">
        <w:rPr>
          <w:lang w:val="en-US"/>
        </w:rPr>
        <w:t xml:space="preserve">Global Precipitation Measurement (GPM) Cold-season Precipitation Experiment (GCPEX); </w:t>
      </w:r>
      <w:r w:rsidR="00C02229" w:rsidRPr="00CF0DF4">
        <w:rPr>
          <w:lang w:val="en-US"/>
        </w:rPr>
        <w:t>Integrated Precipitation and Hydrology Experiment (IPHEX);</w:t>
      </w:r>
      <w:r w:rsidR="00A86B77" w:rsidRPr="00CF0DF4">
        <w:rPr>
          <w:lang w:val="en-US"/>
        </w:rPr>
        <w:t xml:space="preserve"> Olympic Mountain Experiment (OLYMPEX); Investigation of Microphysics and Precipitation for Atlantic Coast-Threatening Snowstorms (IMPACTS). </w:t>
      </w:r>
      <w:bookmarkStart w:id="29" w:name="_Ref104374187"/>
      <w:r w:rsidR="00E34947" w:rsidRPr="00CF0DF4">
        <w:rPr>
          <w:lang w:val="en-US"/>
        </w:rPr>
        <w:t>The P3_N426NA is the NASA P-3</w:t>
      </w:r>
      <w:r w:rsidR="00673975" w:rsidRPr="00CF0DF4">
        <w:rPr>
          <w:lang w:val="en-US"/>
        </w:rPr>
        <w:t xml:space="preserve"> Orion</w:t>
      </w:r>
      <w:r w:rsidR="00C44B50" w:rsidRPr="00CF0DF4">
        <w:rPr>
          <w:lang w:val="en-US"/>
        </w:rPr>
        <w:t xml:space="preserve"> </w:t>
      </w:r>
      <w:r w:rsidR="00E2412E" w:rsidRPr="00CF0DF4">
        <w:rPr>
          <w:lang w:val="en-US"/>
        </w:rPr>
        <w:t>R</w:t>
      </w:r>
      <w:r w:rsidR="00C44B50" w:rsidRPr="00CF0DF4">
        <w:rPr>
          <w:lang w:val="en-US"/>
        </w:rPr>
        <w:t>esearch</w:t>
      </w:r>
      <w:r w:rsidR="00E34947" w:rsidRPr="00CF0DF4">
        <w:rPr>
          <w:lang w:val="en-US"/>
        </w:rPr>
        <w:t xml:space="preserve"> </w:t>
      </w:r>
      <w:r w:rsidR="00E2412E" w:rsidRPr="00CF0DF4">
        <w:rPr>
          <w:lang w:val="en-US"/>
        </w:rPr>
        <w:t>A</w:t>
      </w:r>
      <w:r w:rsidR="00E34947" w:rsidRPr="00CF0DF4">
        <w:rPr>
          <w:lang w:val="en-US"/>
        </w:rPr>
        <w:t>ircraft and the CitationII_N555</w:t>
      </w:r>
      <w:r w:rsidR="00AF1CB5" w:rsidRPr="00CF0DF4">
        <w:rPr>
          <w:lang w:val="en-US"/>
        </w:rPr>
        <w:t xml:space="preserve">DS is the </w:t>
      </w:r>
      <w:r w:rsidR="00C44B50" w:rsidRPr="00CF0DF4">
        <w:rPr>
          <w:lang w:val="en-US"/>
        </w:rPr>
        <w:t>University of North Dakota</w:t>
      </w:r>
      <w:r w:rsidR="00AF1CB5" w:rsidRPr="00CF0DF4">
        <w:rPr>
          <w:lang w:val="en-US"/>
        </w:rPr>
        <w:t xml:space="preserve"> Citatio</w:t>
      </w:r>
      <w:r w:rsidR="00C027E7" w:rsidRPr="00CF0DF4">
        <w:rPr>
          <w:lang w:val="en-US"/>
        </w:rPr>
        <w:t>n</w:t>
      </w:r>
      <w:r w:rsidR="00C44B50" w:rsidRPr="00CF0DF4">
        <w:rPr>
          <w:lang w:val="en-US"/>
        </w:rPr>
        <w:t xml:space="preserve"> </w:t>
      </w:r>
      <w:r w:rsidR="00AF1CB5" w:rsidRPr="00CF0DF4">
        <w:rPr>
          <w:lang w:val="en-US"/>
        </w:rPr>
        <w:t xml:space="preserve">II </w:t>
      </w:r>
      <w:bookmarkEnd w:id="29"/>
      <w:r w:rsidR="00E2412E" w:rsidRPr="00CF0DF4">
        <w:rPr>
          <w:lang w:val="en-US"/>
        </w:rPr>
        <w:t>R</w:t>
      </w:r>
      <w:r w:rsidR="005532D4" w:rsidRPr="00CF0DF4">
        <w:rPr>
          <w:lang w:val="en-US"/>
        </w:rPr>
        <w:t xml:space="preserve">esearch </w:t>
      </w:r>
      <w:r w:rsidR="00E2412E" w:rsidRPr="00CF0DF4">
        <w:rPr>
          <w:lang w:val="en-US"/>
        </w:rPr>
        <w:t>A</w:t>
      </w:r>
      <w:r w:rsidR="00AF1CB5" w:rsidRPr="00CF0DF4">
        <w:rPr>
          <w:lang w:val="en-US"/>
        </w:rPr>
        <w:t xml:space="preserve">ircraft. Small imaging probes </w:t>
      </w:r>
      <w:r w:rsidR="008E0270" w:rsidRPr="00CF0DF4">
        <w:rPr>
          <w:lang w:val="en-US"/>
        </w:rPr>
        <w:t>(“cloud”)</w:t>
      </w:r>
      <w:r w:rsidR="00AF1CB5" w:rsidRPr="00CF0DF4">
        <w:rPr>
          <w:lang w:val="en-US"/>
        </w:rPr>
        <w:t xml:space="preserve"> detect small </w:t>
      </w:r>
      <w:r w:rsidR="00781424">
        <w:rPr>
          <w:lang w:val="en-US"/>
        </w:rPr>
        <w:t>hydrometeors</w:t>
      </w:r>
      <w:r w:rsidR="00AF1CB5" w:rsidRPr="00CF0DF4">
        <w:rPr>
          <w:lang w:val="en-US"/>
        </w:rPr>
        <w:t xml:space="preserve"> with a relatively high resolution and large imaging probes </w:t>
      </w:r>
      <w:r w:rsidR="008E0270" w:rsidRPr="00CF0DF4">
        <w:rPr>
          <w:lang w:val="en-US"/>
        </w:rPr>
        <w:t>(“precipitation”)</w:t>
      </w:r>
      <w:r w:rsidR="00AF1CB5" w:rsidRPr="00CF0DF4">
        <w:rPr>
          <w:lang w:val="en-US"/>
        </w:rPr>
        <w:t xml:space="preserve"> have a larger sample volume but lower resolution. Probes include the</w:t>
      </w:r>
      <w:r w:rsidR="79D98E21" w:rsidRPr="00CF0DF4">
        <w:rPr>
          <w:lang w:val="en-US"/>
        </w:rPr>
        <w:t xml:space="preserve"> Two-Dimensional Optical Array Cloud (2D-C) Probe; Two-Dimensional Stereo (2D-S) Probe; High Volume Precipitation Spectrometer Version 3 (HVPS3).</w:t>
      </w:r>
      <w:r w:rsidR="008F7447" w:rsidRPr="00CF0DF4">
        <w:rPr>
          <w:lang w:val="en-US"/>
        </w:rPr>
        <w:t xml:space="preserve"> The </w:t>
      </w:r>
      <w:r w:rsidR="00474EB9">
        <w:rPr>
          <w:lang w:val="en-US"/>
        </w:rPr>
        <w:t xml:space="preserve">(2) </w:t>
      </w:r>
      <w:r w:rsidR="008F7447" w:rsidRPr="00CF0DF4">
        <w:rPr>
          <w:lang w:val="en-US"/>
        </w:rPr>
        <w:t>HVPS3 indicates two HVPS3 probes were mounted on the aircraft for horizontal and vertical positioning.</w:t>
      </w:r>
      <w:bookmarkEnd w:id="27"/>
      <w:bookmarkEnd w:id="28"/>
    </w:p>
    <w:tbl>
      <w:tblPr>
        <w:tblpPr w:leftFromText="187" w:rightFromText="187" w:bottomFromText="346" w:vertAnchor="text" w:tblpXSpec="center" w:tblpY="1"/>
        <w:tblOverlap w:val="never"/>
        <w:tblW w:w="9300" w:type="dxa"/>
        <w:tblCellMar>
          <w:left w:w="0" w:type="dxa"/>
          <w:right w:w="0" w:type="dxa"/>
        </w:tblCellMar>
        <w:tblLook w:val="04A0" w:firstRow="1" w:lastRow="0" w:firstColumn="1" w:lastColumn="0" w:noHBand="0" w:noVBand="1"/>
      </w:tblPr>
      <w:tblGrid>
        <w:gridCol w:w="1890"/>
        <w:gridCol w:w="1890"/>
        <w:gridCol w:w="2430"/>
        <w:gridCol w:w="1464"/>
        <w:gridCol w:w="1626"/>
      </w:tblGrid>
      <w:tr w:rsidR="00EE671D" w:rsidRPr="00CF0DF4" w14:paraId="1FC6626A" w14:textId="77777777" w:rsidTr="00C83A1F">
        <w:trPr>
          <w:trHeight w:val="175"/>
        </w:trPr>
        <w:tc>
          <w:tcPr>
            <w:tcW w:w="1890" w:type="dxa"/>
            <w:tcBorders>
              <w:top w:val="single" w:sz="12" w:space="0" w:color="auto"/>
              <w:bottom w:val="single" w:sz="4" w:space="0" w:color="auto"/>
              <w:right w:val="nil"/>
            </w:tcBorders>
            <w:shd w:val="clear" w:color="auto" w:fill="FFFFFF" w:themeFill="background1"/>
            <w:vAlign w:val="center"/>
            <w:hideMark/>
          </w:tcPr>
          <w:p w14:paraId="4CA19164" w14:textId="01FF2981" w:rsidR="00EE671D" w:rsidRPr="00CF0DF4" w:rsidRDefault="003F3E0B" w:rsidP="0011513D">
            <w:pPr>
              <w:pStyle w:val="Body-TableHeading"/>
            </w:pPr>
            <w:r w:rsidRPr="00CF0DF4">
              <w:t xml:space="preserve">Field </w:t>
            </w:r>
            <w:r w:rsidR="00795D74" w:rsidRPr="00CF0DF4">
              <w:t>Campaign</w:t>
            </w:r>
          </w:p>
        </w:tc>
        <w:tc>
          <w:tcPr>
            <w:tcW w:w="1890" w:type="dxa"/>
            <w:tcBorders>
              <w:top w:val="single" w:sz="12" w:space="0" w:color="auto"/>
              <w:bottom w:val="single" w:sz="4" w:space="0" w:color="auto"/>
              <w:right w:val="nil"/>
            </w:tcBorders>
            <w:shd w:val="clear" w:color="auto" w:fill="FFFFFF" w:themeFill="background1"/>
            <w:vAlign w:val="center"/>
          </w:tcPr>
          <w:p w14:paraId="1C3B864B" w14:textId="42CBC9F0" w:rsidR="0D1F4C37" w:rsidRPr="00CF0DF4" w:rsidRDefault="0D1F4C37" w:rsidP="0D1F4C37">
            <w:pPr>
              <w:pStyle w:val="Body-TableHeading"/>
              <w:jc w:val="center"/>
              <w:rPr>
                <w:bCs/>
              </w:rPr>
            </w:pPr>
            <w:r w:rsidRPr="00CF0DF4">
              <w:rPr>
                <w:bCs/>
              </w:rPr>
              <w:t>Dates</w:t>
            </w:r>
            <w:r w:rsidR="000B139B" w:rsidRPr="00CF0DF4">
              <w:rPr>
                <w:b w:val="0"/>
              </w:rPr>
              <w:t xml:space="preserve"> (mm/</w:t>
            </w:r>
            <w:proofErr w:type="spellStart"/>
            <w:r w:rsidR="000B139B" w:rsidRPr="00CF0DF4">
              <w:rPr>
                <w:b w:val="0"/>
              </w:rPr>
              <w:t>yy</w:t>
            </w:r>
            <w:proofErr w:type="spellEnd"/>
            <w:r w:rsidR="000B139B" w:rsidRPr="00CF0DF4">
              <w:rPr>
                <w:b w:val="0"/>
              </w:rPr>
              <w:t>)</w:t>
            </w:r>
          </w:p>
        </w:tc>
        <w:tc>
          <w:tcPr>
            <w:tcW w:w="2430" w:type="dxa"/>
            <w:tcBorders>
              <w:top w:val="single" w:sz="12" w:space="0" w:color="auto"/>
              <w:left w:val="nil"/>
              <w:bottom w:val="single" w:sz="4" w:space="0" w:color="auto"/>
              <w:right w:val="nil"/>
            </w:tcBorders>
            <w:shd w:val="clear" w:color="auto" w:fill="FFFFFF" w:themeFill="background1"/>
            <w:vAlign w:val="center"/>
            <w:hideMark/>
          </w:tcPr>
          <w:p w14:paraId="6D537993" w14:textId="77777777" w:rsidR="00EE671D" w:rsidRPr="00CF0DF4" w:rsidRDefault="00EE671D" w:rsidP="0011513D">
            <w:pPr>
              <w:pStyle w:val="Body-TableHeading"/>
              <w:jc w:val="center"/>
            </w:pPr>
            <w:r w:rsidRPr="00CF0DF4">
              <w:t>Aircraft</w:t>
            </w:r>
          </w:p>
        </w:tc>
        <w:tc>
          <w:tcPr>
            <w:tcW w:w="1464" w:type="dxa"/>
            <w:tcBorders>
              <w:top w:val="single" w:sz="12" w:space="0" w:color="auto"/>
              <w:left w:val="nil"/>
              <w:bottom w:val="single" w:sz="4" w:space="0" w:color="auto"/>
              <w:right w:val="nil"/>
            </w:tcBorders>
            <w:shd w:val="clear" w:color="auto" w:fill="FFFFFF" w:themeFill="background1"/>
            <w:vAlign w:val="center"/>
            <w:hideMark/>
          </w:tcPr>
          <w:p w14:paraId="3197093A" w14:textId="393738A4" w:rsidR="00EE671D" w:rsidRPr="00CF0DF4" w:rsidRDefault="0D1F4C37" w:rsidP="0011513D">
            <w:pPr>
              <w:pStyle w:val="Body-TableHeading"/>
              <w:jc w:val="center"/>
            </w:pPr>
            <w:r w:rsidRPr="00CF0DF4">
              <w:t>Cloud</w:t>
            </w:r>
          </w:p>
        </w:tc>
        <w:tc>
          <w:tcPr>
            <w:tcW w:w="1626" w:type="dxa"/>
            <w:tcBorders>
              <w:top w:val="single" w:sz="12" w:space="0" w:color="auto"/>
              <w:left w:val="nil"/>
              <w:bottom w:val="single" w:sz="4" w:space="0" w:color="auto"/>
            </w:tcBorders>
            <w:shd w:val="clear" w:color="auto" w:fill="FFFFFF" w:themeFill="background1"/>
            <w:vAlign w:val="center"/>
            <w:hideMark/>
          </w:tcPr>
          <w:p w14:paraId="0A49D65B" w14:textId="5AF662DB" w:rsidR="00EE671D" w:rsidRPr="00CF0DF4" w:rsidRDefault="0D1F4C37" w:rsidP="0011513D">
            <w:pPr>
              <w:pStyle w:val="Body-TableHeading"/>
              <w:jc w:val="center"/>
            </w:pPr>
            <w:r w:rsidRPr="00CF0DF4">
              <w:t>Precipitation</w:t>
            </w:r>
          </w:p>
        </w:tc>
      </w:tr>
      <w:tr w:rsidR="00474EB9" w:rsidRPr="00CF0DF4" w14:paraId="51DE82CD" w14:textId="77777777" w:rsidTr="00474EB9">
        <w:trPr>
          <w:trHeight w:val="70"/>
        </w:trPr>
        <w:tc>
          <w:tcPr>
            <w:tcW w:w="1890" w:type="dxa"/>
            <w:tcBorders>
              <w:top w:val="nil"/>
              <w:bottom w:val="nil"/>
              <w:right w:val="nil"/>
            </w:tcBorders>
            <w:shd w:val="clear" w:color="auto" w:fill="FFFFFF" w:themeFill="background1"/>
            <w:vAlign w:val="center"/>
            <w:hideMark/>
          </w:tcPr>
          <w:p w14:paraId="18BA4497" w14:textId="7E4FF3C1" w:rsidR="00474EB9" w:rsidRPr="00CF0DF4" w:rsidRDefault="00474EB9" w:rsidP="00474EB9">
            <w:pPr>
              <w:pStyle w:val="Body-Table"/>
            </w:pPr>
            <w:r>
              <w:t>MC3E</w:t>
            </w:r>
          </w:p>
        </w:tc>
        <w:tc>
          <w:tcPr>
            <w:tcW w:w="1890" w:type="dxa"/>
            <w:tcBorders>
              <w:top w:val="nil"/>
              <w:bottom w:val="nil"/>
              <w:right w:val="nil"/>
            </w:tcBorders>
            <w:shd w:val="clear" w:color="auto" w:fill="FFFFFF" w:themeFill="background1"/>
            <w:vAlign w:val="center"/>
          </w:tcPr>
          <w:p w14:paraId="18C6E978" w14:textId="4851943C" w:rsidR="00474EB9" w:rsidRPr="00CF0DF4" w:rsidRDefault="00474EB9" w:rsidP="00474EB9">
            <w:pPr>
              <w:pStyle w:val="Body-Table"/>
              <w:jc w:val="center"/>
            </w:pPr>
            <w:r w:rsidRPr="00CF0DF4">
              <w:t>04/11 - 06/11</w:t>
            </w:r>
          </w:p>
        </w:tc>
        <w:tc>
          <w:tcPr>
            <w:tcW w:w="2430" w:type="dxa"/>
            <w:tcBorders>
              <w:top w:val="nil"/>
              <w:left w:val="nil"/>
              <w:bottom w:val="nil"/>
              <w:right w:val="nil"/>
            </w:tcBorders>
            <w:shd w:val="clear" w:color="auto" w:fill="FFFFFF" w:themeFill="background1"/>
            <w:vAlign w:val="center"/>
          </w:tcPr>
          <w:p w14:paraId="3CE624A8" w14:textId="58EA3510"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75EB39E7" w14:textId="0D70A2CD" w:rsidR="00474EB9" w:rsidRPr="00CF0DF4" w:rsidRDefault="00474EB9" w:rsidP="00474EB9">
            <w:pPr>
              <w:pStyle w:val="Body-Table"/>
              <w:jc w:val="center"/>
            </w:pPr>
            <w:r w:rsidRPr="00CF0DF4">
              <w:t>2D-</w:t>
            </w:r>
            <w:r>
              <w:t>C</w:t>
            </w:r>
          </w:p>
        </w:tc>
        <w:tc>
          <w:tcPr>
            <w:tcW w:w="1626" w:type="dxa"/>
            <w:tcBorders>
              <w:top w:val="nil"/>
              <w:left w:val="nil"/>
              <w:bottom w:val="nil"/>
            </w:tcBorders>
            <w:shd w:val="clear" w:color="auto" w:fill="FFFFFF" w:themeFill="background1"/>
            <w:vAlign w:val="center"/>
            <w:hideMark/>
          </w:tcPr>
          <w:p w14:paraId="5C195092" w14:textId="5697E1C7" w:rsidR="00474EB9" w:rsidRPr="00CF0DF4" w:rsidRDefault="00474EB9" w:rsidP="00474EB9">
            <w:pPr>
              <w:pStyle w:val="Body-Table"/>
              <w:jc w:val="center"/>
            </w:pPr>
            <w:r w:rsidRPr="00CF0DF4">
              <w:t>HVPS3</w:t>
            </w:r>
          </w:p>
        </w:tc>
      </w:tr>
      <w:tr w:rsidR="00474EB9" w:rsidRPr="00CF0DF4" w14:paraId="550DF33D" w14:textId="77777777" w:rsidTr="00C83A1F">
        <w:trPr>
          <w:trHeight w:val="80"/>
        </w:trPr>
        <w:tc>
          <w:tcPr>
            <w:tcW w:w="1890" w:type="dxa"/>
            <w:tcBorders>
              <w:top w:val="nil"/>
              <w:bottom w:val="nil"/>
              <w:right w:val="nil"/>
            </w:tcBorders>
            <w:shd w:val="clear" w:color="auto" w:fill="FFFFFF" w:themeFill="background1"/>
            <w:vAlign w:val="center"/>
            <w:hideMark/>
          </w:tcPr>
          <w:p w14:paraId="4C3CCF07" w14:textId="16CB114C" w:rsidR="00474EB9" w:rsidRPr="00CF0DF4" w:rsidRDefault="00474EB9" w:rsidP="00474EB9">
            <w:pPr>
              <w:pStyle w:val="Body-Table"/>
            </w:pPr>
            <w:r>
              <w:t>GCPEX</w:t>
            </w:r>
          </w:p>
        </w:tc>
        <w:tc>
          <w:tcPr>
            <w:tcW w:w="1890" w:type="dxa"/>
            <w:tcBorders>
              <w:top w:val="nil"/>
              <w:bottom w:val="nil"/>
              <w:right w:val="nil"/>
            </w:tcBorders>
            <w:shd w:val="clear" w:color="auto" w:fill="FFFFFF" w:themeFill="background1"/>
            <w:vAlign w:val="center"/>
          </w:tcPr>
          <w:p w14:paraId="394CEE6F" w14:textId="0BF32302" w:rsidR="00474EB9" w:rsidRPr="00CF0DF4" w:rsidRDefault="00474EB9" w:rsidP="00474EB9">
            <w:pPr>
              <w:pStyle w:val="Body-Table"/>
              <w:jc w:val="center"/>
            </w:pPr>
            <w:r w:rsidRPr="00CF0DF4">
              <w:t>01/12 - 02/12</w:t>
            </w:r>
          </w:p>
        </w:tc>
        <w:tc>
          <w:tcPr>
            <w:tcW w:w="2430" w:type="dxa"/>
            <w:tcBorders>
              <w:top w:val="nil"/>
              <w:left w:val="nil"/>
              <w:bottom w:val="nil"/>
              <w:right w:val="nil"/>
            </w:tcBorders>
            <w:shd w:val="clear" w:color="auto" w:fill="FFFFFF" w:themeFill="background1"/>
            <w:vAlign w:val="center"/>
            <w:hideMark/>
          </w:tcPr>
          <w:p w14:paraId="53DF11E3" w14:textId="77777777"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7F53F63C" w14:textId="3EABFD7B" w:rsidR="00474EB9" w:rsidRPr="00CF0DF4" w:rsidRDefault="00474EB9" w:rsidP="00474EB9">
            <w:pPr>
              <w:pStyle w:val="Body-Table"/>
              <w:jc w:val="center"/>
            </w:pPr>
            <w:r w:rsidRPr="00CF0DF4">
              <w:t>2D-</w:t>
            </w:r>
            <w:r>
              <w:t>C</w:t>
            </w:r>
          </w:p>
        </w:tc>
        <w:tc>
          <w:tcPr>
            <w:tcW w:w="1626" w:type="dxa"/>
            <w:tcBorders>
              <w:top w:val="nil"/>
              <w:left w:val="nil"/>
              <w:bottom w:val="nil"/>
            </w:tcBorders>
            <w:shd w:val="clear" w:color="auto" w:fill="FFFFFF" w:themeFill="background1"/>
            <w:vAlign w:val="center"/>
            <w:hideMark/>
          </w:tcPr>
          <w:p w14:paraId="531A54CE" w14:textId="4911CFA0" w:rsidR="00474EB9" w:rsidRPr="00CF0DF4" w:rsidRDefault="00474EB9" w:rsidP="00474EB9">
            <w:pPr>
              <w:pStyle w:val="Body-Table"/>
              <w:jc w:val="center"/>
            </w:pPr>
            <w:r w:rsidRPr="00CF0DF4">
              <w:t>HVPS3</w:t>
            </w:r>
          </w:p>
        </w:tc>
      </w:tr>
      <w:tr w:rsidR="00474EB9" w:rsidRPr="00CF0DF4" w14:paraId="086172BA" w14:textId="77777777" w:rsidTr="00540A2F">
        <w:trPr>
          <w:trHeight w:val="80"/>
        </w:trPr>
        <w:tc>
          <w:tcPr>
            <w:tcW w:w="1890" w:type="dxa"/>
            <w:tcBorders>
              <w:top w:val="nil"/>
              <w:bottom w:val="nil"/>
              <w:right w:val="nil"/>
            </w:tcBorders>
            <w:shd w:val="clear" w:color="auto" w:fill="FFFFFF" w:themeFill="background1"/>
            <w:vAlign w:val="center"/>
            <w:hideMark/>
          </w:tcPr>
          <w:p w14:paraId="13395E07" w14:textId="1F942C54" w:rsidR="00474EB9" w:rsidRPr="00CF0DF4" w:rsidRDefault="00474EB9" w:rsidP="00474EB9">
            <w:pPr>
              <w:pStyle w:val="Body-Table"/>
            </w:pPr>
            <w:r w:rsidRPr="00CF0DF4">
              <w:t>IPHEX</w:t>
            </w:r>
          </w:p>
        </w:tc>
        <w:tc>
          <w:tcPr>
            <w:tcW w:w="1890" w:type="dxa"/>
            <w:tcBorders>
              <w:top w:val="nil"/>
              <w:bottom w:val="nil"/>
              <w:right w:val="nil"/>
            </w:tcBorders>
            <w:shd w:val="clear" w:color="auto" w:fill="FFFFFF" w:themeFill="background1"/>
            <w:vAlign w:val="center"/>
          </w:tcPr>
          <w:p w14:paraId="1D0C1862" w14:textId="7933D90D" w:rsidR="00474EB9" w:rsidRPr="00CF0DF4" w:rsidRDefault="00474EB9" w:rsidP="00474EB9">
            <w:pPr>
              <w:pStyle w:val="Body-Table"/>
              <w:jc w:val="center"/>
            </w:pPr>
            <w:r w:rsidRPr="00CF0DF4">
              <w:t>05/14 - 06/14</w:t>
            </w:r>
          </w:p>
        </w:tc>
        <w:tc>
          <w:tcPr>
            <w:tcW w:w="2430" w:type="dxa"/>
            <w:tcBorders>
              <w:top w:val="nil"/>
              <w:left w:val="nil"/>
              <w:bottom w:val="nil"/>
              <w:right w:val="nil"/>
            </w:tcBorders>
            <w:shd w:val="clear" w:color="auto" w:fill="FFFFFF" w:themeFill="background1"/>
            <w:vAlign w:val="center"/>
            <w:hideMark/>
          </w:tcPr>
          <w:p w14:paraId="1AD8F77B" w14:textId="77777777"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22B1A0F2" w14:textId="77777777" w:rsidR="00474EB9" w:rsidRPr="00CF0DF4" w:rsidRDefault="00474EB9" w:rsidP="00474EB9">
            <w:pPr>
              <w:pStyle w:val="Body-Table"/>
              <w:jc w:val="center"/>
            </w:pPr>
            <w:r w:rsidRPr="00CF0DF4">
              <w:t>2D-S</w:t>
            </w:r>
          </w:p>
        </w:tc>
        <w:tc>
          <w:tcPr>
            <w:tcW w:w="1626" w:type="dxa"/>
            <w:tcBorders>
              <w:top w:val="nil"/>
              <w:left w:val="nil"/>
              <w:bottom w:val="nil"/>
            </w:tcBorders>
            <w:shd w:val="clear" w:color="auto" w:fill="FFFFFF" w:themeFill="background1"/>
            <w:vAlign w:val="center"/>
            <w:hideMark/>
          </w:tcPr>
          <w:p w14:paraId="137820C2" w14:textId="77777777" w:rsidR="00474EB9" w:rsidRPr="00CF0DF4" w:rsidRDefault="00474EB9" w:rsidP="00474EB9">
            <w:pPr>
              <w:pStyle w:val="Body-Table"/>
              <w:jc w:val="center"/>
            </w:pPr>
            <w:r w:rsidRPr="00CF0DF4">
              <w:t>HVPS3</w:t>
            </w:r>
          </w:p>
        </w:tc>
      </w:tr>
      <w:tr w:rsidR="00474EB9" w:rsidRPr="00CF0DF4" w14:paraId="0C71BC49" w14:textId="77777777" w:rsidTr="00C83A1F">
        <w:trPr>
          <w:trHeight w:val="80"/>
        </w:trPr>
        <w:tc>
          <w:tcPr>
            <w:tcW w:w="1890" w:type="dxa"/>
            <w:tcBorders>
              <w:top w:val="nil"/>
              <w:bottom w:val="nil"/>
              <w:right w:val="nil"/>
            </w:tcBorders>
            <w:shd w:val="clear" w:color="auto" w:fill="FFFFFF" w:themeFill="background1"/>
            <w:vAlign w:val="center"/>
            <w:hideMark/>
          </w:tcPr>
          <w:p w14:paraId="1D7AF9E7" w14:textId="55084537" w:rsidR="00474EB9" w:rsidRPr="00CF0DF4" w:rsidRDefault="00474EB9" w:rsidP="00474EB9">
            <w:pPr>
              <w:pStyle w:val="Body-Table"/>
            </w:pPr>
            <w:r>
              <w:t>OLYMPEX</w:t>
            </w:r>
          </w:p>
        </w:tc>
        <w:tc>
          <w:tcPr>
            <w:tcW w:w="1890" w:type="dxa"/>
            <w:tcBorders>
              <w:top w:val="nil"/>
              <w:bottom w:val="nil"/>
              <w:right w:val="nil"/>
            </w:tcBorders>
            <w:shd w:val="clear" w:color="auto" w:fill="FFFFFF" w:themeFill="background1"/>
            <w:vAlign w:val="center"/>
          </w:tcPr>
          <w:p w14:paraId="03616A8F" w14:textId="0427D86B" w:rsidR="00474EB9" w:rsidRPr="00CF0DF4" w:rsidRDefault="00474EB9" w:rsidP="00474EB9">
            <w:pPr>
              <w:pStyle w:val="Body-Table"/>
              <w:jc w:val="center"/>
            </w:pPr>
            <w:r w:rsidRPr="00CF0DF4">
              <w:t>11/15 - 12/15</w:t>
            </w:r>
          </w:p>
        </w:tc>
        <w:tc>
          <w:tcPr>
            <w:tcW w:w="2430" w:type="dxa"/>
            <w:tcBorders>
              <w:top w:val="nil"/>
              <w:left w:val="nil"/>
              <w:bottom w:val="nil"/>
              <w:right w:val="nil"/>
            </w:tcBorders>
            <w:shd w:val="clear" w:color="auto" w:fill="FFFFFF" w:themeFill="background1"/>
            <w:vAlign w:val="center"/>
            <w:hideMark/>
          </w:tcPr>
          <w:p w14:paraId="11D1E376" w14:textId="77777777"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108CD56C" w14:textId="05FAD3EA" w:rsidR="00474EB9" w:rsidRPr="00CF0DF4" w:rsidRDefault="00474EB9" w:rsidP="00474EB9">
            <w:pPr>
              <w:pStyle w:val="Body-Table"/>
              <w:jc w:val="center"/>
            </w:pPr>
            <w:r w:rsidRPr="00CF0DF4">
              <w:t>2D-</w:t>
            </w:r>
            <w:r>
              <w:t>S</w:t>
            </w:r>
          </w:p>
        </w:tc>
        <w:tc>
          <w:tcPr>
            <w:tcW w:w="1626" w:type="dxa"/>
            <w:tcBorders>
              <w:top w:val="nil"/>
              <w:left w:val="nil"/>
              <w:bottom w:val="nil"/>
            </w:tcBorders>
            <w:shd w:val="clear" w:color="auto" w:fill="FFFFFF" w:themeFill="background1"/>
            <w:vAlign w:val="center"/>
            <w:hideMark/>
          </w:tcPr>
          <w:p w14:paraId="05E4547F" w14:textId="1A5618A2" w:rsidR="00474EB9" w:rsidRPr="00CF0DF4" w:rsidRDefault="00474EB9" w:rsidP="00474EB9">
            <w:pPr>
              <w:pStyle w:val="Body-Table"/>
              <w:jc w:val="center"/>
            </w:pPr>
            <w:r>
              <w:t xml:space="preserve">(2) </w:t>
            </w:r>
            <w:r w:rsidRPr="00CF0DF4">
              <w:t>HVPS3</w:t>
            </w:r>
          </w:p>
        </w:tc>
      </w:tr>
      <w:tr w:rsidR="00474EB9" w:rsidRPr="00CF0DF4" w14:paraId="080CB163" w14:textId="77777777" w:rsidTr="00540A2F">
        <w:trPr>
          <w:trHeight w:val="80"/>
        </w:trPr>
        <w:tc>
          <w:tcPr>
            <w:tcW w:w="1890" w:type="dxa"/>
            <w:tcBorders>
              <w:top w:val="nil"/>
              <w:bottom w:val="single" w:sz="12" w:space="0" w:color="auto"/>
              <w:right w:val="nil"/>
            </w:tcBorders>
            <w:shd w:val="clear" w:color="auto" w:fill="FFFFFF" w:themeFill="background1"/>
            <w:vAlign w:val="center"/>
            <w:hideMark/>
          </w:tcPr>
          <w:p w14:paraId="0250EB94" w14:textId="70FD9B67" w:rsidR="00474EB9" w:rsidRPr="00CF0DF4" w:rsidRDefault="00474EB9" w:rsidP="00474EB9">
            <w:pPr>
              <w:pStyle w:val="Body-Table"/>
            </w:pPr>
            <w:r>
              <w:t>IMPACTS</w:t>
            </w:r>
          </w:p>
        </w:tc>
        <w:tc>
          <w:tcPr>
            <w:tcW w:w="1890" w:type="dxa"/>
            <w:tcBorders>
              <w:top w:val="nil"/>
              <w:bottom w:val="single" w:sz="12" w:space="0" w:color="auto"/>
              <w:right w:val="nil"/>
            </w:tcBorders>
            <w:shd w:val="clear" w:color="auto" w:fill="FFFFFF" w:themeFill="background1"/>
            <w:vAlign w:val="center"/>
          </w:tcPr>
          <w:p w14:paraId="74E24D37" w14:textId="0A7AEF5B" w:rsidR="00474EB9" w:rsidRPr="00CF0DF4" w:rsidRDefault="00474EB9" w:rsidP="00474EB9">
            <w:pPr>
              <w:pStyle w:val="Body-Table"/>
              <w:jc w:val="center"/>
            </w:pPr>
            <w:r w:rsidRPr="00CF0DF4">
              <w:t>01/20 - 02/20</w:t>
            </w:r>
          </w:p>
        </w:tc>
        <w:tc>
          <w:tcPr>
            <w:tcW w:w="2430" w:type="dxa"/>
            <w:tcBorders>
              <w:top w:val="nil"/>
              <w:left w:val="nil"/>
              <w:bottom w:val="single" w:sz="12" w:space="0" w:color="auto"/>
              <w:right w:val="nil"/>
            </w:tcBorders>
            <w:shd w:val="clear" w:color="auto" w:fill="FFFFFF" w:themeFill="background1"/>
            <w:vAlign w:val="center"/>
            <w:hideMark/>
          </w:tcPr>
          <w:p w14:paraId="756A42F0" w14:textId="6E135E57" w:rsidR="00474EB9" w:rsidRPr="00CF0DF4" w:rsidRDefault="00474EB9" w:rsidP="00474EB9">
            <w:pPr>
              <w:pStyle w:val="Body-Table"/>
              <w:jc w:val="center"/>
            </w:pPr>
            <w:r w:rsidRPr="00CF0DF4">
              <w:t>P3_N426NA</w:t>
            </w:r>
          </w:p>
        </w:tc>
        <w:tc>
          <w:tcPr>
            <w:tcW w:w="1464" w:type="dxa"/>
            <w:tcBorders>
              <w:top w:val="nil"/>
              <w:left w:val="nil"/>
              <w:bottom w:val="single" w:sz="12" w:space="0" w:color="auto"/>
              <w:right w:val="nil"/>
            </w:tcBorders>
            <w:shd w:val="clear" w:color="auto" w:fill="FFFFFF" w:themeFill="background1"/>
            <w:vAlign w:val="center"/>
            <w:hideMark/>
          </w:tcPr>
          <w:p w14:paraId="78BB8C46" w14:textId="3DEEB30D" w:rsidR="00474EB9" w:rsidRPr="00CF0DF4" w:rsidRDefault="00474EB9" w:rsidP="00474EB9">
            <w:pPr>
              <w:pStyle w:val="Body-Table"/>
              <w:jc w:val="center"/>
            </w:pPr>
            <w:r w:rsidRPr="00CF0DF4">
              <w:t>2D-</w:t>
            </w:r>
            <w:r>
              <w:t>S</w:t>
            </w:r>
          </w:p>
        </w:tc>
        <w:tc>
          <w:tcPr>
            <w:tcW w:w="1626" w:type="dxa"/>
            <w:tcBorders>
              <w:top w:val="nil"/>
              <w:left w:val="nil"/>
              <w:bottom w:val="single" w:sz="12" w:space="0" w:color="auto"/>
            </w:tcBorders>
            <w:shd w:val="clear" w:color="auto" w:fill="FFFFFF" w:themeFill="background1"/>
            <w:vAlign w:val="center"/>
            <w:hideMark/>
          </w:tcPr>
          <w:p w14:paraId="4E0162EC" w14:textId="56D1BA14" w:rsidR="00474EB9" w:rsidRPr="00CF0DF4" w:rsidRDefault="00474EB9" w:rsidP="00474EB9">
            <w:pPr>
              <w:pStyle w:val="Body-Table"/>
              <w:jc w:val="center"/>
            </w:pPr>
            <w:r>
              <w:t xml:space="preserve">(2) </w:t>
            </w:r>
            <w:r w:rsidRPr="00CF0DF4">
              <w:t>HVPS3</w:t>
            </w:r>
          </w:p>
        </w:tc>
      </w:tr>
    </w:tbl>
    <w:p w14:paraId="23F18C2C" w14:textId="77777777" w:rsidR="00871519" w:rsidRPr="00CF0DF4" w:rsidRDefault="0075679B" w:rsidP="00871519">
      <w:pPr>
        <w:pStyle w:val="Figure"/>
        <w:keepNext/>
        <w:rPr>
          <w:lang w:val="en-US"/>
        </w:rPr>
      </w:pPr>
      <w:bookmarkStart w:id="30" w:name="_Hlk106030934"/>
      <w:r w:rsidRPr="00CF0DF4">
        <w:rPr>
          <w:noProof/>
          <w:lang w:val="en-US" w:eastAsia="en-US" w:bidi="ar-SA"/>
        </w:rPr>
        <w:lastRenderedPageBreak/>
        <w:drawing>
          <wp:inline distT="0" distB="0" distL="0" distR="0" wp14:anchorId="29428D38" wp14:editId="1DD20E36">
            <wp:extent cx="590550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086" b="34193"/>
                    <a:stretch/>
                  </pic:blipFill>
                  <pic:spPr bwMode="auto">
                    <a:xfrm>
                      <a:off x="0" y="0"/>
                      <a:ext cx="590550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6CF47C88" w14:textId="66FFA1AF" w:rsidR="0075679B" w:rsidRPr="00CF0DF4" w:rsidRDefault="00871519" w:rsidP="00871519">
      <w:pPr>
        <w:pStyle w:val="Caption-Figure"/>
      </w:pPr>
      <w:bookmarkStart w:id="31" w:name="_Ref106218510"/>
      <w:bookmarkStart w:id="32" w:name="_Toc109123114"/>
      <w:r w:rsidRPr="00CF0DF4">
        <w:t xml:space="preserve">Figure </w:t>
      </w:r>
      <w:r w:rsidRPr="00CF0DF4">
        <w:fldChar w:fldCharType="begin"/>
      </w:r>
      <w:r w:rsidRPr="00CF0DF4">
        <w:instrText>SEQ Figure \* ARABIC</w:instrText>
      </w:r>
      <w:r w:rsidRPr="00CF0DF4">
        <w:fldChar w:fldCharType="separate"/>
      </w:r>
      <w:r w:rsidR="00DB4BE3">
        <w:rPr>
          <w:noProof/>
        </w:rPr>
        <w:t>1</w:t>
      </w:r>
      <w:r w:rsidRPr="00CF0DF4">
        <w:fldChar w:fldCharType="end"/>
      </w:r>
      <w:bookmarkEnd w:id="31"/>
      <w:r w:rsidRPr="00CF0DF4">
        <w:t xml:space="preserve">: Schematic showing images of the Two-Dimensional Optical Array Cloud (2D-C) Probe, Two-Dimensional Stereo (2D-S) Probe, and </w:t>
      </w:r>
      <w:proofErr w:type="gramStart"/>
      <w:r w:rsidRPr="00CF0DF4">
        <w:t>High Volume</w:t>
      </w:r>
      <w:proofErr w:type="gramEnd"/>
      <w:r w:rsidRPr="00CF0DF4">
        <w:t xml:space="preserve"> Precipitation Spectrometer Version 3 (HVPS3) mounted on </w:t>
      </w:r>
      <w:r w:rsidR="008E2F00" w:rsidRPr="00CF0DF4">
        <w:t>the University of North Dakota Citation II Research Aircraft</w:t>
      </w:r>
      <w:r w:rsidR="00516FA6" w:rsidRPr="00CF0DF4">
        <w:t>.</w:t>
      </w:r>
      <w:r w:rsidR="00752B91" w:rsidRPr="00CF0DF4">
        <w:t xml:space="preserve"> </w:t>
      </w:r>
      <w:r w:rsidR="00982EC7" w:rsidRPr="00CF0DF4">
        <w:t xml:space="preserve">Additional probes are shown and mounted on the </w:t>
      </w:r>
      <w:r w:rsidR="00C73D88" w:rsidRPr="00CF0DF4">
        <w:t>aircraft but</w:t>
      </w:r>
      <w:r w:rsidR="00982EC7" w:rsidRPr="00CF0DF4">
        <w:t xml:space="preserve"> are not highlighted.</w:t>
      </w:r>
      <w:bookmarkEnd w:id="32"/>
    </w:p>
    <w:bookmarkEnd w:id="30"/>
    <w:p w14:paraId="534243B4" w14:textId="3810BC0F" w:rsidR="00FA1537" w:rsidRPr="00CF0DF4" w:rsidRDefault="00FA1537" w:rsidP="00FA1537">
      <w:pPr>
        <w:pStyle w:val="Body"/>
        <w:rPr>
          <w:lang w:val="en-US"/>
        </w:rPr>
      </w:pPr>
      <w:r w:rsidRPr="00CF0DF4">
        <w:rPr>
          <w:lang w:val="en-US"/>
        </w:rPr>
        <w:t>The Two-Dimensional Stereo (2D-S) probe (</w:t>
      </w:r>
      <w:r w:rsidRPr="00CF0DF4">
        <w:rPr>
          <w:lang w:val="en-US"/>
        </w:rPr>
        <w:fldChar w:fldCharType="begin"/>
      </w:r>
      <w:r w:rsidRPr="00CF0DF4">
        <w:rPr>
          <w:lang w:val="en-US"/>
        </w:rPr>
        <w:instrText xml:space="preserve"> REF _Ref106218510 \h </w:instrText>
      </w:r>
      <w:r w:rsidRPr="00CF0DF4">
        <w:rPr>
          <w:lang w:val="en-US"/>
        </w:rPr>
      </w:r>
      <w:r w:rsidRPr="00CF0DF4">
        <w:rPr>
          <w:lang w:val="en-US"/>
        </w:rPr>
        <w:fldChar w:fldCharType="separate"/>
      </w:r>
      <w:r w:rsidR="00DB4BE3" w:rsidRPr="00CF0DF4">
        <w:t xml:space="preserve">Figure </w:t>
      </w:r>
      <w:r w:rsidR="00DB4BE3">
        <w:rPr>
          <w:noProof/>
        </w:rPr>
        <w:t>1</w:t>
      </w:r>
      <w:r w:rsidRPr="00CF0DF4">
        <w:rPr>
          <w:lang w:val="en-US"/>
        </w:rPr>
        <w:fldChar w:fldCharType="end"/>
      </w:r>
      <w:r w:rsidRPr="00CF0DF4">
        <w:rPr>
          <w:lang w:val="en-US"/>
        </w:rPr>
        <w:t xml:space="preserve">) is an optical array probe that images </w:t>
      </w:r>
      <w:r>
        <w:rPr>
          <w:lang w:val="en-US"/>
        </w:rPr>
        <w:t>hydrometeors</w:t>
      </w:r>
      <w:r w:rsidRPr="00CF0DF4">
        <w:rPr>
          <w:lang w:val="en-US"/>
        </w:rPr>
        <w:t xml:space="preserve"> through linear array shadowing </w:t>
      </w:r>
      <w:r w:rsidRPr="00CF0DF4">
        <w:rPr>
          <w:lang w:val="en-US"/>
        </w:rPr>
        <w:fldChar w:fldCharType="begin"/>
      </w:r>
      <w:r w:rsidRPr="00CF0DF4">
        <w:rPr>
          <w:lang w:val="en-US"/>
        </w:rPr>
        <w:instrText xml:space="preserve"> ADDIN ZOTERO_ITEM CSL_CITATION {"citationID":"p6sqRZ2c","properties":{"formattedCitation":"(Lawson et al. 2006)","plainCitation":"(Lawson et al. 2006)","noteIndex":0},"citationItems":[{"id":334,"uris":["http://zotero.org/groups/4663654/items/ICWM97H5"],"itemData":{"id":334,"type":"article-journal","abstract":"Abstract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Pr="00CF0DF4">
        <w:rPr>
          <w:rFonts w:ascii="Cambria Math" w:hAnsi="Cambria Math" w:cs="Cambria Math"/>
          <w:lang w:val="en-US"/>
        </w:rPr>
        <w:instrText>∼</w:instrText>
      </w:r>
      <w:r w:rsidRPr="00CF0DF4">
        <w:rPr>
          <w:lang w:val="en-US"/>
        </w:rPr>
        <w:instrText xml:space="preserve">100 </w:instrText>
      </w:r>
      <w:r w:rsidRPr="00CF0DF4">
        <w:rPr>
          <w:rFonts w:cs="Times New Roman"/>
          <w:lang w:val="en-US"/>
        </w:rPr>
        <w:instrText>μ</w:instrText>
      </w:r>
      <w:r w:rsidRPr="00CF0DF4">
        <w:rPr>
          <w:lang w:val="en-US"/>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 xml:space="preserve">m when the 2D-C and 260X probes see few or none. The data suggest that particle images and size distributions ranging from 25 to </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m and collected at airspeeds &gt;100 m s</w:instrText>
      </w:r>
      <w:r w:rsidRPr="00CF0DF4">
        <w:rPr>
          <w:rFonts w:cs="Times New Roman"/>
          <w:lang w:val="en-US"/>
        </w:rPr>
        <w:instrText>−</w:instrText>
      </w:r>
      <w:r w:rsidRPr="00CF0DF4">
        <w:rPr>
          <w:lang w:val="en-US"/>
        </w:rPr>
        <w:instrText xml:space="preserve">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Pr="00CF0DF4">
        <w:rPr>
          <w:lang w:val="en-US"/>
        </w:rPr>
        <w:fldChar w:fldCharType="separate"/>
      </w:r>
      <w:r w:rsidRPr="00CF0DF4">
        <w:rPr>
          <w:rFonts w:cs="Times New Roman"/>
          <w:lang w:val="en-US"/>
        </w:rPr>
        <w:t>(Lawson et al. 2006)</w:t>
      </w:r>
      <w:r w:rsidRPr="00CF0DF4">
        <w:rPr>
          <w:lang w:val="en-US"/>
        </w:rPr>
        <w:fldChar w:fldCharType="end"/>
      </w:r>
      <w:r w:rsidRPr="00CF0DF4">
        <w:rPr>
          <w:lang w:val="en-US"/>
        </w:rPr>
        <w:t xml:space="preserve">. The 2D-S probe uses laser beams from two linear 128-photodiode arrays that </w:t>
      </w:r>
      <w:r>
        <w:rPr>
          <w:lang w:val="en-US"/>
        </w:rPr>
        <w:t>have an equivalent</w:t>
      </w:r>
      <w:r w:rsidRPr="00CF0DF4">
        <w:rPr>
          <w:lang w:val="en-US"/>
        </w:rPr>
        <w:t xml:space="preserve"> 10 µm </w:t>
      </w:r>
      <w:r>
        <w:rPr>
          <w:lang w:val="en-US"/>
        </w:rPr>
        <w:t>resolution</w:t>
      </w:r>
      <w:r w:rsidRPr="00CF0DF4">
        <w:rPr>
          <w:lang w:val="en-US"/>
        </w:rPr>
        <w:t>. The two laser beams form a right angle giving horizontal and vertical orientations of the photodiode array. The HVPS3 (</w:t>
      </w:r>
      <w:r w:rsidRPr="00CF0DF4">
        <w:rPr>
          <w:lang w:val="en-US"/>
        </w:rPr>
        <w:fldChar w:fldCharType="begin"/>
      </w:r>
      <w:r w:rsidRPr="00CF0DF4">
        <w:rPr>
          <w:lang w:val="en-US"/>
        </w:rPr>
        <w:instrText xml:space="preserve"> REF _Ref106218510 \h </w:instrText>
      </w:r>
      <w:r w:rsidRPr="00CF0DF4">
        <w:rPr>
          <w:lang w:val="en-US"/>
        </w:rPr>
      </w:r>
      <w:r w:rsidRPr="00CF0DF4">
        <w:rPr>
          <w:lang w:val="en-US"/>
        </w:rPr>
        <w:fldChar w:fldCharType="separate"/>
      </w:r>
      <w:r w:rsidR="00DB4BE3" w:rsidRPr="00CF0DF4">
        <w:t xml:space="preserve">Figure </w:t>
      </w:r>
      <w:r w:rsidR="00DB4BE3">
        <w:rPr>
          <w:noProof/>
        </w:rPr>
        <w:t>1</w:t>
      </w:r>
      <w:r w:rsidRPr="00CF0DF4">
        <w:rPr>
          <w:lang w:val="en-US"/>
        </w:rPr>
        <w:fldChar w:fldCharType="end"/>
      </w:r>
      <w:r w:rsidRPr="00CF0DF4">
        <w:rPr>
          <w:lang w:val="en-US"/>
        </w:rPr>
        <w:t xml:space="preserve">) is a </w:t>
      </w:r>
      <w:r>
        <w:rPr>
          <w:lang w:val="en-US"/>
        </w:rPr>
        <w:t>hydrometeor</w:t>
      </w:r>
      <w:r w:rsidRPr="00CF0DF4">
        <w:rPr>
          <w:lang w:val="en-US"/>
        </w:rPr>
        <w:t xml:space="preserve"> imaging probe with a single 128-photodioode array of 150 µm </w:t>
      </w:r>
      <w:r>
        <w:rPr>
          <w:lang w:val="en-US"/>
        </w:rPr>
        <w:t>resolution</w:t>
      </w:r>
      <w:r w:rsidRPr="00CF0DF4">
        <w:rPr>
          <w:lang w:val="en-US"/>
        </w:rPr>
        <w:t xml:space="preserve"> </w:t>
      </w:r>
      <w:r w:rsidRPr="00CF0DF4">
        <w:rPr>
          <w:lang w:val="en-US"/>
        </w:rPr>
        <w:fldChar w:fldCharType="begin"/>
      </w:r>
      <w:r w:rsidRPr="00CF0DF4">
        <w:rPr>
          <w:lang w:val="en-US"/>
        </w:rPr>
        <w:instrText xml:space="preserve"> ADDIN ZOTERO_ITEM CSL_CITATION {"citationID":"y9kEN5AV","properties":{"formattedCitation":"(Lawson et al. 1998; Kumjian et al. 2016)","plainCitation":"(Lawson et al. 1998; Kumjian et al. 2016)","noteIndex":0},"citationItems":[{"id":345,"uris":["http://zotero.org/groups/4663654/items/S2HPLFIZ"],"itemData":{"id":345,"type":"article-journal","abstract":"Abstract The Canadian Atlantic Storms Program (CASP II) field experiment was conducted near St. John’s, Newfoundland, Canada, during January–March 1992, and it focused on the nature of winter storms. Analyses of CASP II aircraft, surface, satellite, and radar observations collected during an intensive study of the origin and development of 9 mm h−1 precipitation containing 4–5-cm diameter snowflakes are compared in this article with results of the MM5 (mesoscale) and Mitchell (microphysical) models. MM5 simulations of the thermal, kinematic, and bulk microphysical fields were in good agreement with the observations; this comparison provided the basis for extending the spatial and temporal scales of the aircraft observations to a larger-scale domain using the model results. The Mitchell analytical–numerical model was used to improve the understanding of the microphysical processes that led to the development of the very large snowflakes. A synthesis of results using the different techniques leads to the conclusion that the snowflakes originated as 3–5-mm dendritic crystals in an area of weak convective instability at 5 km and were transported downwind in a strongly sheared airflow. The dendrites aggregated, fell into an existing snowzone (supported in some regions by vertical motion with velocities ranging from 0.2–0.6 m s−1), and continued to descend along a deep, downward sloping layer with temperatures near 0°C. Rapid aggregation occurred in the near 0°C region in particular and without appreciable particle breakup. An exponential fit to the particle size distribution in the region of very large snowflakes had a slope parameter on the order of 100 m−1.","container-title":"Journal of the Atmospheric Sciences","DOI":"10.1175/1520-0469(1998)055&lt;3209:OANSOT&gt;2.0.CO;2","ISSN":"0022-4928, 1520-0469","issue":"21","language":"EN","note":"publisher: American Meteorological Society\nsection: Journal of the Atmospheric Sciences","page":"3209-3229","source":"journals.ametsoc.org","title":"Observations and Numerical Simulations of the Origin and Development of Very Large Snowflakes","volume":"55","author":[{"family":"Lawson","given":"R. Paul"},{"family":"Stewart","given":"Ronald E."},{"family":"Angus","given":"Leigh J."}],"issued":{"date-parts":[["1998",11,1]]}}},{"id":340,"uris":["http://zotero.org/groups/4663654/items/SL9WJKLT"],"itemData":{"id":340,"type":"article-journal","abstract":"Polarimetric radar observations increasingly are used to understand cloud microphysical processes, which is critical for improving their representation in cloud and climate models. In particular, there has been recent focus on improving representations of ice collection processes (e.g., aggregation and riming), as these influence precipitation rate, heating profiles, and ultimately cloud life cycles. However, distinguishing these processes using conventional polarimetric radar observations is difficult, as they produce similar fingerprints. This necessitates improved analysis techniques and integration of complementary data sources. The Midlatitude Continental Convective Clouds Experiment (MC3E) provided such an opportunity. Quasi-vertical profiles of polarimetric radar variables in two MC3E stratiform precipitation events reveal episodic melting layer sagging. Integrated analyses using scanning and vertically pointing radar and aircraft measurements reveal that saggy bright band signatures are produced when denser, faster-falling, more isometric hydrometeors (relative to adjacent times) descend into the melting layer. In one case, strong circumstantial evidence for riming is found during bright band sagging times. A bin microphysical melting layer model successfully reproduces many aspects of the signature, supporting the observational analysis. If found to be a reliable indicator of riming, saggy bright bands could be a proxy for the presence of supercooled liquid water in stratiform precipitation, which may provide important information for mitigating aircraft icing risks and for constraining microphysical models.","container-title":"Journal of Geophysical Research: Atmospheres","DOI":"10.1002/2015JD024446","ISSN":"2169-8996","issue":"7","language":"en","note":"_eprint: https://onlinelibrary.wiley.com/doi/pdf/10.1002/2015JD024446","page":"3584-3607","source":"Wiley Online Library","title":"Polarimetric radar and aircraft observations of saggy bright bands during MC3E","volume":"121","author":[{"family":"Kumjian","given":"Matthew R."},{"family":"Mishra","given":"Subashree"},{"family":"Giangrande","given":"Scott E."},{"family":"Toto","given":"Tami"},{"family":"Ryzhkov","given":"Alexander V."},{"family":"Bansemer","given":"Aaron"}],"issued":{"date-parts":[["2016"]]}}}],"schema":"https://github.com/citation-style-language/schema/raw/master/csl-citation.json"} </w:instrText>
      </w:r>
      <w:r w:rsidRPr="00CF0DF4">
        <w:rPr>
          <w:lang w:val="en-US"/>
        </w:rPr>
        <w:fldChar w:fldCharType="separate"/>
      </w:r>
      <w:r w:rsidRPr="00CF0DF4">
        <w:rPr>
          <w:rFonts w:cs="Times New Roman"/>
          <w:lang w:val="en-US"/>
        </w:rPr>
        <w:t>(Lawson et al. 1998; Kumjian et al. 2016)</w:t>
      </w:r>
      <w:r w:rsidRPr="00CF0DF4">
        <w:rPr>
          <w:lang w:val="en-US"/>
        </w:rPr>
        <w:fldChar w:fldCharType="end"/>
      </w:r>
      <w:r w:rsidRPr="00CF0DF4">
        <w:rPr>
          <w:lang w:val="en-US"/>
        </w:rPr>
        <w:t xml:space="preserve">. Typically, two HVPS3 probes are mounted on aircraft for both horizontal and vertical orientations to match a single 2D-S probe (noted in </w:t>
      </w:r>
      <w:r w:rsidRPr="00CF0DF4">
        <w:rPr>
          <w:lang w:val="en-US"/>
        </w:rPr>
        <w:fldChar w:fldCharType="begin"/>
      </w:r>
      <w:r w:rsidRPr="00CF0DF4">
        <w:rPr>
          <w:lang w:val="en-US"/>
        </w:rPr>
        <w:instrText xml:space="preserve"> REF _Ref106170499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1</w:t>
      </w:r>
      <w:r w:rsidRPr="00CF0DF4">
        <w:rPr>
          <w:lang w:val="en-US"/>
        </w:rPr>
        <w:fldChar w:fldCharType="end"/>
      </w:r>
      <w:r w:rsidRPr="00CF0DF4">
        <w:rPr>
          <w:lang w:val="en-US"/>
        </w:rPr>
        <w:t xml:space="preserve">). </w:t>
      </w:r>
      <w:r w:rsidR="00F96510">
        <w:rPr>
          <w:lang w:val="en-US"/>
        </w:rPr>
        <w:t>At an aircraft speed of 100 m/s, the</w:t>
      </w:r>
      <w:r w:rsidR="004269C1">
        <w:rPr>
          <w:lang w:val="en-US"/>
        </w:rPr>
        <w:t xml:space="preserve"> 2D-S has a sample volume of </w:t>
      </w:r>
      <w:r w:rsidR="001B01F4">
        <w:rPr>
          <w:lang w:val="en-US"/>
        </w:rPr>
        <w:t>16 L/s</w:t>
      </w:r>
      <w:r w:rsidR="004269C1">
        <w:rPr>
          <w:lang w:val="en-US"/>
        </w:rPr>
        <w:t>, while the</w:t>
      </w:r>
      <w:r w:rsidR="00F96510">
        <w:rPr>
          <w:lang w:val="en-US"/>
        </w:rPr>
        <w:t xml:space="preserve"> </w:t>
      </w:r>
      <w:r w:rsidR="004269C1">
        <w:rPr>
          <w:lang w:val="en-US"/>
        </w:rPr>
        <w:t xml:space="preserve">HVPS3 has a sample volume </w:t>
      </w:r>
      <w:r w:rsidR="001B01F4">
        <w:rPr>
          <w:lang w:val="en-US"/>
        </w:rPr>
        <w:t>310</w:t>
      </w:r>
      <w:r w:rsidR="004269C1">
        <w:rPr>
          <w:lang w:val="en-US"/>
        </w:rPr>
        <w:t xml:space="preserve"> L/s. </w:t>
      </w:r>
      <w:r w:rsidRPr="00CF0DF4">
        <w:rPr>
          <w:lang w:val="en-US"/>
        </w:rPr>
        <w:t xml:space="preserve">Before the 2D-S probe became available starting with IPHEX, the </w:t>
      </w:r>
      <w:r w:rsidRPr="00CF0DF4">
        <w:rPr>
          <w:rFonts w:eastAsia="Times New Roman" w:cs="Times New Roman"/>
          <w:lang w:val="en-US"/>
        </w:rPr>
        <w:t>Two-Dimensional Optical Array Cloud (2D-C) probe</w:t>
      </w:r>
      <w:r w:rsidRPr="00CF0DF4">
        <w:rPr>
          <w:lang w:val="en-US"/>
        </w:rPr>
        <w:t xml:space="preserve"> (</w:t>
      </w:r>
      <w:r w:rsidRPr="00CF0DF4">
        <w:rPr>
          <w:lang w:val="en-US"/>
        </w:rPr>
        <w:fldChar w:fldCharType="begin"/>
      </w:r>
      <w:r w:rsidRPr="00CF0DF4">
        <w:rPr>
          <w:lang w:val="en-US"/>
        </w:rPr>
        <w:instrText xml:space="preserve"> REF _Ref106218510 \h </w:instrText>
      </w:r>
      <w:r w:rsidRPr="00CF0DF4">
        <w:rPr>
          <w:lang w:val="en-US"/>
        </w:rPr>
      </w:r>
      <w:r w:rsidRPr="00CF0DF4">
        <w:rPr>
          <w:lang w:val="en-US"/>
        </w:rPr>
        <w:fldChar w:fldCharType="separate"/>
      </w:r>
      <w:r w:rsidR="00DB4BE3" w:rsidRPr="00CF0DF4">
        <w:t xml:space="preserve">Figure </w:t>
      </w:r>
      <w:r w:rsidR="00DB4BE3">
        <w:rPr>
          <w:noProof/>
        </w:rPr>
        <w:t>1</w:t>
      </w:r>
      <w:r w:rsidRPr="00CF0DF4">
        <w:rPr>
          <w:lang w:val="en-US"/>
        </w:rPr>
        <w:fldChar w:fldCharType="end"/>
      </w:r>
      <w:r w:rsidRPr="00CF0DF4">
        <w:rPr>
          <w:lang w:val="en-US"/>
        </w:rPr>
        <w:t>)</w:t>
      </w:r>
      <w:r w:rsidRPr="00CF0DF4">
        <w:rPr>
          <w:rFonts w:eastAsia="Times New Roman" w:cs="Times New Roman"/>
          <w:lang w:val="en-US"/>
        </w:rPr>
        <w:t xml:space="preserve"> was used for MC3E and GCPEX (</w:t>
      </w:r>
      <w:r w:rsidRPr="00CF0DF4">
        <w:rPr>
          <w:rFonts w:eastAsia="Times New Roman" w:cs="Times New Roman"/>
          <w:lang w:val="en-US"/>
        </w:rPr>
        <w:fldChar w:fldCharType="begin"/>
      </w:r>
      <w:r w:rsidRPr="00CF0DF4">
        <w:rPr>
          <w:rFonts w:eastAsia="Times New Roman" w:cs="Times New Roman"/>
          <w:lang w:val="en-US"/>
        </w:rPr>
        <w:instrText xml:space="preserve"> REF _Ref106170499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rPr>
          <w:lang w:val="en-US"/>
        </w:rPr>
        <w:t xml:space="preserve">Table </w:t>
      </w:r>
      <w:r w:rsidR="00DB4BE3">
        <w:rPr>
          <w:noProof/>
          <w:lang w:val="en-US"/>
        </w:rPr>
        <w:t>1</w:t>
      </w:r>
      <w:r w:rsidRPr="00CF0DF4">
        <w:rPr>
          <w:rFonts w:eastAsia="Times New Roman" w:cs="Times New Roman"/>
          <w:lang w:val="en-US"/>
        </w:rPr>
        <w:fldChar w:fldCharType="end"/>
      </w:r>
      <w:r w:rsidRPr="00CF0DF4">
        <w:rPr>
          <w:rFonts w:eastAsia="Times New Roman" w:cs="Times New Roman"/>
          <w:lang w:val="en-US"/>
        </w:rPr>
        <w:t xml:space="preserve">). The 2D-C probe has lower resolution with 32 optical elements, each with a 30 µm </w:t>
      </w:r>
      <w:r>
        <w:rPr>
          <w:rFonts w:eastAsia="Times New Roman" w:cs="Times New Roman"/>
          <w:lang w:val="en-US"/>
        </w:rPr>
        <w:t>resolution</w:t>
      </w:r>
      <w:r w:rsidRPr="00CF0DF4">
        <w:rPr>
          <w:rFonts w:eastAsia="Times New Roman" w:cs="Times New Roman"/>
          <w:lang w:val="en-US"/>
        </w:rPr>
        <w:t xml:space="preserve"> </w:t>
      </w:r>
      <w:r w:rsidRPr="00CF0DF4">
        <w:rPr>
          <w:lang w:val="en-US"/>
        </w:rPr>
        <w:fldChar w:fldCharType="begin"/>
      </w:r>
      <w:r w:rsidRPr="00CF0DF4">
        <w:rPr>
          <w:lang w:val="en-US"/>
        </w:rPr>
        <w:instrText xml:space="preserve"> ADDIN ZOTERO_ITEM CSL_CITATION {"citationID":"ZIihBG2Z","properties":{"formattedCitation":"(Knollenberg 1981)","plainCitation":"(Knollenberg 1981)","noteIndex":0},"citationItems":[{"id":343,"uris":["http://zotero.org/groups/4663654/items/VQCHAJ57"],"itemData":{"id":343,"type":"chapter","abstract":"Ice clouds were generated in the Manchester Ice Cloud Chamber (MICC), and the backscattering linear depolarisation ratio, δ, was measured for a variety of habits. To create an assortment of particle morphologies, the humidity in the chamber was varied throughout each experiment, resulting in a range of habits from the pristine to the complex. This technique was repeated at three temperatures: −7 °C, −15 °C and −30 °C, in order to produce both solid and hollow columns, plates, sectored plates and dendrites. A linearly polarised 532 nm continuous wave diode laser was directed through a section of the cloud using a non-polarising 50:50 beam splitter. Measurements of the scattered light were taken at 178°, 179° and 180°, using a Glan–Taylor prism to separate the co- and cross-polarised components. The intensities of these components were measured using two amplified photodetectors and the ratio of the cross- to co-polarised intensities was measured to find the linear depolarisation ratio. In general, it was found that Ray Tracing over-predicts the linear depolarisation ratio. However, by creating more accurate particle models which better represent the internal structure of ice particles, discrepancies between measured and modelled results (based on Ray Tracing) were reduced.","container-title":"Clouds their Formation, Optical Properties, and Effects","ISBN":"978-0-12-350720-4","language":"en","note":"DOI: 10.1016/B978-0-12-350720-4.50007-7","page":"15-91","publisher":"Academic Press","source":"ScienceDirect","title":"TECHNIQUES FOR PROBING CLOUD MICROSTRUCTURE","URL":"https://www.sciencedirect.com/science/article/pii/B9780123507204500077","author":[{"family":"Knollenberg","given":"R. G."}],"editor":[{"family":"Hobbs","given":"PETER V."},{"family":"Deepak","given":"ADARSH"}],"accessed":{"date-parts":[["2022",6,13]]},"issued":{"date-parts":[["1981",1,1]]}}}],"schema":"https://github.com/citation-style-language/schema/raw/master/csl-citation.json"} </w:instrText>
      </w:r>
      <w:r w:rsidRPr="00CF0DF4">
        <w:rPr>
          <w:lang w:val="en-US"/>
        </w:rPr>
        <w:fldChar w:fldCharType="separate"/>
      </w:r>
      <w:r w:rsidRPr="00CF0DF4">
        <w:rPr>
          <w:rFonts w:cs="Times New Roman"/>
          <w:lang w:val="en-US"/>
        </w:rPr>
        <w:t>(Knollenberg 1981)</w:t>
      </w:r>
      <w:r w:rsidRPr="00CF0DF4">
        <w:rPr>
          <w:lang w:val="en-US"/>
        </w:rPr>
        <w:fldChar w:fldCharType="end"/>
      </w:r>
      <w:r w:rsidRPr="00CF0DF4">
        <w:rPr>
          <w:rFonts w:eastAsia="Times New Roman" w:cs="Times New Roman"/>
          <w:lang w:val="en-US"/>
        </w:rPr>
        <w:t>. The 2D-C is only used</w:t>
      </w:r>
      <w:r w:rsidR="0007464B">
        <w:rPr>
          <w:rFonts w:eastAsia="Times New Roman" w:cs="Times New Roman"/>
          <w:lang w:val="en-US"/>
        </w:rPr>
        <w:t xml:space="preserve"> here</w:t>
      </w:r>
      <w:r w:rsidRPr="00CF0DF4">
        <w:rPr>
          <w:rFonts w:eastAsia="Times New Roman" w:cs="Times New Roman"/>
          <w:lang w:val="en-US"/>
        </w:rPr>
        <w:t xml:space="preserve"> for inspecting images to determine the bottom of the melting layer. </w:t>
      </w:r>
    </w:p>
    <w:p w14:paraId="6F3F021D" w14:textId="146D9F6C" w:rsidR="00D939FA" w:rsidRPr="00CF0DF4" w:rsidRDefault="00BB2CF7" w:rsidP="00252381">
      <w:pPr>
        <w:pStyle w:val="Heading2"/>
        <w:rPr>
          <w:rFonts w:eastAsia="Times New Roman" w:cs="Times New Roman"/>
          <w:lang w:val="en-US"/>
        </w:rPr>
      </w:pPr>
      <w:bookmarkStart w:id="33" w:name="_Toc109123101"/>
      <w:r w:rsidRPr="00CF0DF4">
        <w:rPr>
          <w:rFonts w:eastAsia="Times New Roman" w:cs="Times New Roman"/>
          <w:lang w:val="en-US"/>
        </w:rPr>
        <w:lastRenderedPageBreak/>
        <w:t>2.</w:t>
      </w:r>
      <w:r w:rsidR="00493B27" w:rsidRPr="00CF0DF4">
        <w:rPr>
          <w:rFonts w:eastAsia="Times New Roman" w:cs="Times New Roman"/>
          <w:lang w:val="en-US"/>
        </w:rPr>
        <w:t>2</w:t>
      </w:r>
      <w:r w:rsidRPr="00CF0DF4">
        <w:rPr>
          <w:rFonts w:eastAsia="Times New Roman" w:cs="Times New Roman"/>
          <w:lang w:val="en-US"/>
        </w:rPr>
        <w:t xml:space="preserve"> </w:t>
      </w:r>
      <w:r w:rsidR="009834AD" w:rsidRPr="00CF0DF4">
        <w:rPr>
          <w:rFonts w:eastAsia="Times New Roman" w:cs="Times New Roman"/>
          <w:lang w:val="en-US"/>
        </w:rPr>
        <w:t>Data Processing</w:t>
      </w:r>
      <w:bookmarkEnd w:id="33"/>
    </w:p>
    <w:p w14:paraId="7EF1035D" w14:textId="32615672" w:rsidR="009E6388" w:rsidRPr="00CF0DF4" w:rsidRDefault="009E6388" w:rsidP="00F71A37">
      <w:pPr>
        <w:pStyle w:val="Body"/>
        <w:rPr>
          <w:lang w:val="en-US"/>
        </w:rPr>
      </w:pPr>
      <w:r w:rsidRPr="00CF0DF4">
        <w:rPr>
          <w:rFonts w:eastAsia="Times New Roman" w:cs="Times New Roman"/>
          <w:lang w:val="en-US"/>
        </w:rPr>
        <w:t xml:space="preserve">The </w:t>
      </w:r>
      <w:r w:rsidR="00370C51" w:rsidRPr="00CF0DF4">
        <w:rPr>
          <w:rFonts w:eastAsia="Times New Roman" w:cs="Times New Roman"/>
          <w:lang w:val="en-US"/>
        </w:rPr>
        <w:t xml:space="preserve">data from instrumentation </w:t>
      </w:r>
      <w:r w:rsidR="00264547" w:rsidRPr="00CF0DF4">
        <w:rPr>
          <w:rFonts w:eastAsia="Times New Roman" w:cs="Times New Roman"/>
          <w:lang w:val="en-US"/>
        </w:rPr>
        <w:t xml:space="preserve">aboard aircraft </w:t>
      </w:r>
      <w:r w:rsidR="00370C51" w:rsidRPr="00CF0DF4">
        <w:rPr>
          <w:rFonts w:eastAsia="Times New Roman" w:cs="Times New Roman"/>
          <w:lang w:val="en-US"/>
        </w:rPr>
        <w:t xml:space="preserve">are collected using </w:t>
      </w:r>
      <w:r w:rsidR="00690381" w:rsidRPr="00CF0DF4">
        <w:rPr>
          <w:rFonts w:eastAsia="Times New Roman" w:cs="Times New Roman"/>
          <w:lang w:val="en-US"/>
        </w:rPr>
        <w:t xml:space="preserve">data acquisition systems such as </w:t>
      </w:r>
      <w:r w:rsidR="00370C51" w:rsidRPr="00CF0DF4">
        <w:rPr>
          <w:rFonts w:eastAsia="Times New Roman" w:cs="Times New Roman"/>
          <w:lang w:val="en-US"/>
        </w:rPr>
        <w:t>the Science Engineering Associates (SEA Inc.) model M-300</w:t>
      </w:r>
      <w:r w:rsidR="00493B27" w:rsidRPr="00CF0DF4">
        <w:rPr>
          <w:rFonts w:eastAsia="Times New Roman" w:cs="Times New Roman"/>
          <w:lang w:val="en-US"/>
        </w:rPr>
        <w:t xml:space="preserve"> </w:t>
      </w:r>
      <w:r w:rsidR="00370C51" w:rsidRPr="00CF0DF4">
        <w:rPr>
          <w:rFonts w:eastAsia="Times New Roman" w:cs="Times New Roman"/>
          <w:lang w:val="en-US"/>
        </w:rPr>
        <w:t>data acquisition system.</w:t>
      </w:r>
      <w:r w:rsidR="00410D9E" w:rsidRPr="00CF0DF4">
        <w:rPr>
          <w:rFonts w:eastAsia="Times New Roman" w:cs="Times New Roman"/>
          <w:lang w:val="en-US"/>
        </w:rPr>
        <w:t xml:space="preserve"> </w:t>
      </w:r>
      <w:r w:rsidR="00370C51" w:rsidRPr="00CF0DF4">
        <w:rPr>
          <w:rFonts w:eastAsia="Times New Roman" w:cs="Times New Roman"/>
          <w:lang w:val="en-US"/>
        </w:rPr>
        <w:t>The optical array probes</w:t>
      </w:r>
      <w:r w:rsidR="00690381" w:rsidRPr="00CF0DF4">
        <w:rPr>
          <w:rFonts w:eastAsia="Times New Roman" w:cs="Times New Roman"/>
          <w:lang w:val="en-US"/>
        </w:rPr>
        <w:t xml:space="preserve"> such as</w:t>
      </w:r>
      <w:r w:rsidR="00370C51" w:rsidRPr="00CF0DF4">
        <w:rPr>
          <w:rFonts w:eastAsia="Times New Roman" w:cs="Times New Roman"/>
          <w:lang w:val="en-US"/>
        </w:rPr>
        <w:t xml:space="preserve"> the </w:t>
      </w:r>
      <w:r w:rsidR="001C38FC" w:rsidRPr="00CF0DF4">
        <w:rPr>
          <w:rFonts w:eastAsia="Times New Roman" w:cs="Times New Roman"/>
          <w:lang w:val="en-US"/>
        </w:rPr>
        <w:t>Two-Dimensional Stereo (</w:t>
      </w:r>
      <w:r w:rsidR="00370C51" w:rsidRPr="00CF0DF4">
        <w:rPr>
          <w:rFonts w:eastAsia="Times New Roman" w:cs="Times New Roman"/>
          <w:lang w:val="en-US"/>
        </w:rPr>
        <w:t>2D-S</w:t>
      </w:r>
      <w:r w:rsidR="001C38FC" w:rsidRPr="00CF0DF4">
        <w:rPr>
          <w:rFonts w:eastAsia="Times New Roman" w:cs="Times New Roman"/>
          <w:lang w:val="en-US"/>
        </w:rPr>
        <w:t>) probe</w:t>
      </w:r>
      <w:r w:rsidR="00370C51" w:rsidRPr="00CF0DF4">
        <w:rPr>
          <w:rFonts w:eastAsia="Times New Roman" w:cs="Times New Roman"/>
          <w:lang w:val="en-US"/>
        </w:rPr>
        <w:t xml:space="preserve"> and</w:t>
      </w:r>
      <w:r w:rsidR="001C38FC" w:rsidRPr="00CF0DF4">
        <w:rPr>
          <w:rFonts w:eastAsia="Times New Roman" w:cs="Times New Roman"/>
          <w:lang w:val="en-US"/>
        </w:rPr>
        <w:t xml:space="preserve"> the </w:t>
      </w:r>
      <w:proofErr w:type="gramStart"/>
      <w:r w:rsidR="001C38FC" w:rsidRPr="00CF0DF4">
        <w:rPr>
          <w:rFonts w:eastAsia="Times New Roman" w:cs="Times New Roman"/>
          <w:lang w:val="en-US"/>
        </w:rPr>
        <w:t>High Volume</w:t>
      </w:r>
      <w:proofErr w:type="gramEnd"/>
      <w:r w:rsidR="001C38FC" w:rsidRPr="00CF0DF4">
        <w:rPr>
          <w:rFonts w:eastAsia="Times New Roman" w:cs="Times New Roman"/>
          <w:lang w:val="en-US"/>
        </w:rPr>
        <w:t xml:space="preserve"> Precipitation Spectrometer Version 3 (HVPS3) probe u</w:t>
      </w:r>
      <w:r w:rsidR="001C38FC" w:rsidRPr="00CF0DF4">
        <w:rPr>
          <w:lang w:val="en-US"/>
        </w:rPr>
        <w:t xml:space="preserve">se their own </w:t>
      </w:r>
      <w:r w:rsidR="00690381" w:rsidRPr="00CF0DF4">
        <w:rPr>
          <w:lang w:val="en-US"/>
        </w:rPr>
        <w:t xml:space="preserve">individual </w:t>
      </w:r>
      <w:r w:rsidR="001C38FC" w:rsidRPr="00CF0DF4">
        <w:rPr>
          <w:lang w:val="en-US"/>
        </w:rPr>
        <w:t>data acquisition system</w:t>
      </w:r>
      <w:r w:rsidR="00E261EF" w:rsidRPr="00CF0DF4">
        <w:rPr>
          <w:lang w:val="en-US"/>
        </w:rPr>
        <w:t>s</w:t>
      </w:r>
      <w:r w:rsidR="001C38FC" w:rsidRPr="00CF0DF4">
        <w:rPr>
          <w:lang w:val="en-US"/>
        </w:rPr>
        <w:t xml:space="preserve">. </w:t>
      </w:r>
      <w:r w:rsidR="0015193F" w:rsidRPr="00CF0DF4">
        <w:rPr>
          <w:lang w:val="en-US"/>
        </w:rPr>
        <w:t xml:space="preserve">All data acquisition systems have their time synchronized at start of an aircraft flight; although, if there is a syncing issue, it can be </w:t>
      </w:r>
      <w:r w:rsidR="0015193F">
        <w:rPr>
          <w:lang w:val="en-US"/>
        </w:rPr>
        <w:t>resolved</w:t>
      </w:r>
      <w:r w:rsidR="0015193F" w:rsidRPr="00CF0DF4">
        <w:rPr>
          <w:lang w:val="en-US"/>
        </w:rPr>
        <w:t xml:space="preserve"> in post-processing since GPS based time is always recorded.</w:t>
      </w:r>
    </w:p>
    <w:p w14:paraId="536D074E" w14:textId="31A72E06" w:rsidR="009A3106" w:rsidRPr="00CF0DF4" w:rsidRDefault="00837DA3" w:rsidP="00F71A37">
      <w:pPr>
        <w:pStyle w:val="Body"/>
        <w:rPr>
          <w:lang w:val="en-US"/>
        </w:rPr>
      </w:pPr>
      <w:r w:rsidRPr="00CF0DF4">
        <w:rPr>
          <w:lang w:val="en-US"/>
        </w:rPr>
        <w:t xml:space="preserve">The </w:t>
      </w:r>
      <w:r w:rsidR="00F87671" w:rsidRPr="00CF0DF4">
        <w:rPr>
          <w:lang w:val="en-US"/>
        </w:rPr>
        <w:t xml:space="preserve">in-situ </w:t>
      </w:r>
      <w:r w:rsidRPr="00CF0DF4">
        <w:rPr>
          <w:lang w:val="en-US"/>
        </w:rPr>
        <w:t xml:space="preserve">data are processed with </w:t>
      </w:r>
      <w:r w:rsidR="005D2A9E" w:rsidRPr="00CF0DF4">
        <w:rPr>
          <w:lang w:val="en-US"/>
        </w:rPr>
        <w:t xml:space="preserve">the </w:t>
      </w:r>
      <w:r w:rsidRPr="00CF0DF4">
        <w:rPr>
          <w:lang w:val="en-US"/>
        </w:rPr>
        <w:t>Airborne Data Processing and Analysis (ADPAA)</w:t>
      </w:r>
      <w:r w:rsidR="005D2A9E" w:rsidRPr="00CF0DF4">
        <w:rPr>
          <w:lang w:val="en-US"/>
        </w:rPr>
        <w:t xml:space="preserve"> software package </w:t>
      </w:r>
      <w:r w:rsidR="005D2A9E" w:rsidRPr="00CF0DF4">
        <w:rPr>
          <w:lang w:val="en-US"/>
        </w:rPr>
        <w:fldChar w:fldCharType="begin"/>
      </w:r>
      <w:r w:rsidR="00592C9F" w:rsidRPr="00CF0DF4">
        <w:rPr>
          <w:lang w:val="en-US"/>
        </w:rPr>
        <w:instrText xml:space="preserve"> ADDIN ZOTERO_ITEM CSL_CITATION {"citationID":"r70M1rPr","properties":{"formattedCitation":"(Delene 2011)","plainCitation":"(Delene 2011)","noteIndex":0},"citationItems":[{"id":101,"uris":["http://zotero.org/groups/4663654/items/NDTU6SUA"],"itemData":{"id":101,"type":"article-journal","abstract":"The practice of conducting quality control and quality assurance in the construction of data sets is often an overlooked and underestimated task of many research projects in the Earth Sciences. The development of software to effectively process and quickly analyze measurements is a critical aspect of a research project. An evolutionary approach has been used at the University of North Dakota to develop and implement software to process and analyze airborne measurements. Development over the past eight years has resulted in a collection of software named the Airborne Data Processing and Analysis (ADPAA) package which has been published as an open source project on Source Forge. The ADPAA package is intended to fully automate data processing while incorporating the concept of missing value codes and levels of data processing. At each data level, ADPAA utilizes a standard ASCII file format to store measurements from individual instruments into separate files. After all data levels have been processed, a summary file containing parameters of scientific interest for the field project is created for each aircraft flight. All project information is organized into a standard directory structure. ADPAA contains several tools that facilitate quality control procedures conducted on instruments during field projects and laboratory testing. Each quality control procedure is designed to ensure proper instrument performance and hence the validity of the instrument’s measurement. Data processing by ADPAA allows edit files to be created that are automatically used to insert missing value codes into a time period that had instrument problems. The creation of edit files is typically done after the completion of a field project when scientists are performing quality assurance of the data set. Since data processing is automatic, preliminary data can be created and analyzed within hours of an aircraft flight and a complete field project data set can be reprocessed many times during the quality assurance process. Once a final data set has been created, ADPAA provides several tools for visualization and analysis. In addition to aircraft data, ADPAA can be used on any data set that is based on time series measurements. The concepts illustrated by ADPAA and components of ADPAA, such as the Cplot visualization tool, are applicable to areas of Earth Science that work with time series measurements.","container-title":"Earth Science Informatics","DOI":"10.1007/s12145-010-0061-4","ISSN":"1865-0481","issue":"1","journalAbbreviation":"Earth Sci Inform","language":"en","page":"29-44","source":"Springer Link","title":"Airborne data processing and analysis software package","volume":"4","author":[{"family":"Delene","given":"David J."}],"issued":{"date-parts":[["2011",3,1]]}}}],"schema":"https://github.com/citation-style-language/schema/raw/master/csl-citation.json"} </w:instrText>
      </w:r>
      <w:r w:rsidR="005D2A9E" w:rsidRPr="00CF0DF4">
        <w:rPr>
          <w:lang w:val="en-US"/>
        </w:rPr>
        <w:fldChar w:fldCharType="separate"/>
      </w:r>
      <w:r w:rsidR="005D2A9E" w:rsidRPr="00CF0DF4">
        <w:rPr>
          <w:rFonts w:cs="Times New Roman"/>
          <w:lang w:val="en-US"/>
        </w:rPr>
        <w:t>(Delene 2011)</w:t>
      </w:r>
      <w:r w:rsidR="005D2A9E" w:rsidRPr="00CF0DF4">
        <w:rPr>
          <w:lang w:val="en-US"/>
        </w:rPr>
        <w:fldChar w:fldCharType="end"/>
      </w:r>
      <w:r w:rsidRPr="00CF0DF4">
        <w:rPr>
          <w:lang w:val="en-US"/>
        </w:rPr>
        <w:t xml:space="preserve">. </w:t>
      </w:r>
      <w:r w:rsidR="005D2A9E" w:rsidRPr="00CF0DF4">
        <w:rPr>
          <w:lang w:val="en-US"/>
        </w:rPr>
        <w:t xml:space="preserve">ADPAA is an </w:t>
      </w:r>
      <w:r w:rsidR="009E6388" w:rsidRPr="00CF0DF4">
        <w:rPr>
          <w:lang w:val="en-US"/>
        </w:rPr>
        <w:t>open-source</w:t>
      </w:r>
      <w:r w:rsidR="00950F17" w:rsidRPr="00CF0DF4">
        <w:rPr>
          <w:lang w:val="en-US"/>
        </w:rPr>
        <w:t xml:space="preserve"> software package that contains </w:t>
      </w:r>
      <w:r w:rsidR="00825FB4" w:rsidRPr="00CF0DF4">
        <w:rPr>
          <w:lang w:val="en-US"/>
        </w:rPr>
        <w:t>several</w:t>
      </w:r>
      <w:r w:rsidR="00950F17" w:rsidRPr="00CF0DF4">
        <w:rPr>
          <w:lang w:val="en-US"/>
        </w:rPr>
        <w:t xml:space="preserve"> programs for processing and analysis of in-situ data. ADPAA also offers tools such as the </w:t>
      </w:r>
      <w:proofErr w:type="spellStart"/>
      <w:r w:rsidR="00950F17" w:rsidRPr="00CF0DF4">
        <w:rPr>
          <w:lang w:val="en-US"/>
        </w:rPr>
        <w:t>Cplot</w:t>
      </w:r>
      <w:proofErr w:type="spellEnd"/>
      <w:r w:rsidR="00950F17" w:rsidRPr="00CF0DF4">
        <w:rPr>
          <w:lang w:val="en-US"/>
        </w:rPr>
        <w:t xml:space="preserve"> and </w:t>
      </w:r>
      <w:proofErr w:type="spellStart"/>
      <w:r w:rsidR="00950F17" w:rsidRPr="00CF0DF4">
        <w:rPr>
          <w:lang w:val="en-US"/>
        </w:rPr>
        <w:t>Aplot</w:t>
      </w:r>
      <w:proofErr w:type="spellEnd"/>
      <w:r w:rsidR="00950F17" w:rsidRPr="00CF0DF4">
        <w:rPr>
          <w:lang w:val="en-US"/>
        </w:rPr>
        <w:t xml:space="preserve"> programs to quickly visualize American Standard Code for Information Interchange (ASCII) data for analysis.</w:t>
      </w:r>
      <w:r w:rsidR="00690381" w:rsidRPr="00CF0DF4" w:rsidDel="00690381">
        <w:rPr>
          <w:lang w:val="en-US"/>
        </w:rPr>
        <w:t xml:space="preserve"> </w:t>
      </w:r>
      <w:r w:rsidR="007F397F" w:rsidRPr="00CF0DF4">
        <w:rPr>
          <w:lang w:val="en-US"/>
        </w:rPr>
        <w:t xml:space="preserve">ADPAA utilizes </w:t>
      </w:r>
      <w:r w:rsidR="001E6B59" w:rsidRPr="00CF0DF4">
        <w:rPr>
          <w:lang w:val="en-US"/>
        </w:rPr>
        <w:t xml:space="preserve">the </w:t>
      </w:r>
      <w:r w:rsidR="001F3F88">
        <w:rPr>
          <w:lang w:val="en-US"/>
        </w:rPr>
        <w:t xml:space="preserve">National </w:t>
      </w:r>
      <w:r w:rsidR="00B30C0F">
        <w:rPr>
          <w:lang w:val="en-US"/>
        </w:rPr>
        <w:t xml:space="preserve">Center for Atmospheric Research (NCAR) </w:t>
      </w:r>
      <w:r w:rsidR="001E6B59" w:rsidRPr="00CF0DF4">
        <w:rPr>
          <w:lang w:val="en-US"/>
        </w:rPr>
        <w:t xml:space="preserve">System for </w:t>
      </w:r>
      <w:r w:rsidR="00B30C0F">
        <w:rPr>
          <w:lang w:val="en-US"/>
        </w:rPr>
        <w:t>Optical Array Probe (</w:t>
      </w:r>
      <w:r w:rsidR="001E6B59" w:rsidRPr="00CF0DF4">
        <w:rPr>
          <w:lang w:val="en-US"/>
        </w:rPr>
        <w:t>OAP</w:t>
      </w:r>
      <w:r w:rsidR="00B30C0F">
        <w:rPr>
          <w:lang w:val="en-US"/>
        </w:rPr>
        <w:t>)</w:t>
      </w:r>
      <w:r w:rsidR="001E6B59" w:rsidRPr="00CF0DF4">
        <w:rPr>
          <w:lang w:val="en-US"/>
        </w:rPr>
        <w:t xml:space="preserve"> Data Analysis </w:t>
      </w:r>
      <w:r w:rsidR="00A171CE" w:rsidRPr="00CF0DF4">
        <w:rPr>
          <w:lang w:val="en-US"/>
        </w:rPr>
        <w:t>version 2 (SODA2)</w:t>
      </w:r>
      <w:r w:rsidR="00D84F8C" w:rsidRPr="00CF0DF4">
        <w:rPr>
          <w:lang w:val="en-US"/>
        </w:rPr>
        <w:t xml:space="preserve"> for processing </w:t>
      </w:r>
      <w:r w:rsidR="00BB3DA4" w:rsidRPr="00CF0DF4">
        <w:rPr>
          <w:lang w:val="en-US"/>
        </w:rPr>
        <w:t>OAP</w:t>
      </w:r>
      <w:r w:rsidR="00D84F8C" w:rsidRPr="00CF0DF4">
        <w:rPr>
          <w:lang w:val="en-US"/>
        </w:rPr>
        <w:t xml:space="preserve"> data including the 2D-S and HVPS3. </w:t>
      </w:r>
      <w:r w:rsidR="008026C6" w:rsidRPr="00CF0DF4">
        <w:rPr>
          <w:lang w:val="en-US"/>
        </w:rPr>
        <w:t xml:space="preserve">Automated processing in ADPAA </w:t>
      </w:r>
      <w:r w:rsidR="00A518A1" w:rsidRPr="00CF0DF4">
        <w:rPr>
          <w:lang w:val="en-US"/>
        </w:rPr>
        <w:t xml:space="preserve">creates </w:t>
      </w:r>
      <w:r w:rsidR="00A80C7A" w:rsidRPr="00CF0DF4">
        <w:rPr>
          <w:lang w:val="en-US"/>
        </w:rPr>
        <w:t>1 Hz</w:t>
      </w:r>
      <w:r w:rsidR="00D867F3" w:rsidRPr="00CF0DF4">
        <w:rPr>
          <w:lang w:val="en-US"/>
        </w:rPr>
        <w:t xml:space="preserve"> temporal</w:t>
      </w:r>
      <w:r w:rsidR="00A80C7A" w:rsidRPr="00CF0DF4">
        <w:rPr>
          <w:lang w:val="en-US"/>
        </w:rPr>
        <w:t xml:space="preserve"> frequency</w:t>
      </w:r>
      <w:r w:rsidR="007F233F" w:rsidRPr="00CF0DF4">
        <w:rPr>
          <w:lang w:val="en-US"/>
        </w:rPr>
        <w:t xml:space="preserve"> ASCII</w:t>
      </w:r>
      <w:r w:rsidR="00A80C7A" w:rsidRPr="00CF0DF4">
        <w:rPr>
          <w:lang w:val="en-US"/>
        </w:rPr>
        <w:t xml:space="preserve"> data files</w:t>
      </w:r>
      <w:r w:rsidR="00B8519B" w:rsidRPr="00CF0DF4">
        <w:rPr>
          <w:lang w:val="en-US"/>
        </w:rPr>
        <w:t xml:space="preserve"> from the raw data</w:t>
      </w:r>
      <w:r w:rsidR="00A80C7A" w:rsidRPr="00CF0DF4">
        <w:rPr>
          <w:lang w:val="en-US"/>
        </w:rPr>
        <w:t xml:space="preserve"> for area ratio, aspect ratio, concentration, counts, and </w:t>
      </w:r>
      <w:r w:rsidR="00971F18" w:rsidRPr="00CF0DF4">
        <w:rPr>
          <w:lang w:val="en-US"/>
        </w:rPr>
        <w:t>cross-sectional</w:t>
      </w:r>
      <w:r w:rsidR="00A80C7A" w:rsidRPr="00CF0DF4">
        <w:rPr>
          <w:lang w:val="en-US"/>
        </w:rPr>
        <w:t xml:space="preserve"> area</w:t>
      </w:r>
      <w:r w:rsidR="00B8519B" w:rsidRPr="00CF0DF4">
        <w:rPr>
          <w:lang w:val="en-US"/>
        </w:rPr>
        <w:t xml:space="preserve">. </w:t>
      </w:r>
      <w:r w:rsidR="00F7283D">
        <w:rPr>
          <w:lang w:val="en-US"/>
        </w:rPr>
        <w:t xml:space="preserve">The 2D-S and HVPS3 </w:t>
      </w:r>
      <w:r w:rsidR="00F7283D">
        <w:rPr>
          <w:lang w:val="en-US"/>
        </w:rPr>
        <w:t>concentration measurements</w:t>
      </w:r>
      <w:r w:rsidR="00F7283D">
        <w:rPr>
          <w:lang w:val="en-US"/>
        </w:rPr>
        <w:t xml:space="preserve"> are used to calculate mass below the melting layer, discussed </w:t>
      </w:r>
      <w:r w:rsidR="00F7283D">
        <w:rPr>
          <w:lang w:val="en-US"/>
        </w:rPr>
        <w:t xml:space="preserve">in Appendix C. </w:t>
      </w:r>
      <w:r w:rsidR="00977854" w:rsidRPr="00CF0DF4">
        <w:rPr>
          <w:lang w:val="en-US"/>
        </w:rPr>
        <w:t xml:space="preserve">The processing done by SODA2 implements several </w:t>
      </w:r>
      <w:r w:rsidR="00065054" w:rsidRPr="00CF0DF4">
        <w:rPr>
          <w:lang w:val="en-US"/>
        </w:rPr>
        <w:t xml:space="preserve">corrections for </w:t>
      </w:r>
      <w:r w:rsidR="00781424">
        <w:rPr>
          <w:lang w:val="en-US"/>
        </w:rPr>
        <w:t>hydrometeor</w:t>
      </w:r>
      <w:r w:rsidR="00065054" w:rsidRPr="00CF0DF4">
        <w:rPr>
          <w:lang w:val="en-US"/>
        </w:rPr>
        <w:t xml:space="preserve"> sizing and measurements. </w:t>
      </w:r>
      <w:r w:rsidR="00C113D5" w:rsidRPr="00CF0DF4">
        <w:rPr>
          <w:lang w:val="en-US"/>
        </w:rPr>
        <w:t>Out</w:t>
      </w:r>
      <w:r w:rsidR="00CF5715" w:rsidRPr="00CF0DF4">
        <w:rPr>
          <w:lang w:val="en-US"/>
        </w:rPr>
        <w:t xml:space="preserve"> </w:t>
      </w:r>
      <w:r w:rsidR="00C113D5" w:rsidRPr="00CF0DF4">
        <w:rPr>
          <w:lang w:val="en-US"/>
        </w:rPr>
        <w:t>of</w:t>
      </w:r>
      <w:r w:rsidR="00CF5715" w:rsidRPr="00CF0DF4">
        <w:rPr>
          <w:lang w:val="en-US"/>
        </w:rPr>
        <w:t xml:space="preserve"> </w:t>
      </w:r>
      <w:r w:rsidR="00C113D5" w:rsidRPr="00CF0DF4">
        <w:rPr>
          <w:lang w:val="en-US"/>
        </w:rPr>
        <w:t>focus images and artifacts are removed during processing.</w:t>
      </w:r>
      <w:r w:rsidR="002A51CD" w:rsidRPr="00CF0DF4">
        <w:rPr>
          <w:lang w:val="en-US"/>
        </w:rPr>
        <w:t xml:space="preserve"> </w:t>
      </w:r>
      <w:r w:rsidR="00781424">
        <w:rPr>
          <w:lang w:val="en-US"/>
        </w:rPr>
        <w:t>Hydrometeors</w:t>
      </w:r>
      <w:r w:rsidR="002A51CD" w:rsidRPr="00CF0DF4">
        <w:rPr>
          <w:lang w:val="en-US"/>
        </w:rPr>
        <w:t xml:space="preserve"> are sorted into bin</w:t>
      </w:r>
      <w:r w:rsidR="00BF426A" w:rsidRPr="00CF0DF4">
        <w:rPr>
          <w:lang w:val="en-US"/>
        </w:rPr>
        <w:t>s of varying size</w:t>
      </w:r>
      <w:r w:rsidR="00740211" w:rsidRPr="00CF0DF4">
        <w:rPr>
          <w:lang w:val="en-US"/>
        </w:rPr>
        <w:t xml:space="preserve"> </w:t>
      </w:r>
      <w:r w:rsidR="009A3106" w:rsidRPr="00CF0DF4">
        <w:rPr>
          <w:lang w:val="en-US"/>
        </w:rPr>
        <w:t>for the 2D-S and HVPS3</w:t>
      </w:r>
      <w:r w:rsidR="00740211" w:rsidRPr="00CF0DF4">
        <w:rPr>
          <w:lang w:val="en-US"/>
        </w:rPr>
        <w:t xml:space="preserve"> (</w:t>
      </w:r>
      <w:r w:rsidR="00740211" w:rsidRPr="00CF0DF4">
        <w:rPr>
          <w:lang w:val="en-US"/>
        </w:rPr>
        <w:fldChar w:fldCharType="begin"/>
      </w:r>
      <w:r w:rsidR="00740211" w:rsidRPr="00CF0DF4">
        <w:rPr>
          <w:lang w:val="en-US"/>
        </w:rPr>
        <w:instrText xml:space="preserve"> REF _Ref103885783 \h </w:instrText>
      </w:r>
      <w:r w:rsidR="00740211" w:rsidRPr="00CF0DF4">
        <w:rPr>
          <w:lang w:val="en-US"/>
        </w:rPr>
      </w:r>
      <w:r w:rsidR="00740211" w:rsidRPr="00CF0DF4">
        <w:rPr>
          <w:lang w:val="en-US"/>
        </w:rPr>
        <w:fldChar w:fldCharType="separate"/>
      </w:r>
      <w:r w:rsidR="00DB4BE3" w:rsidRPr="00CF0DF4">
        <w:rPr>
          <w:lang w:val="en-US"/>
        </w:rPr>
        <w:t xml:space="preserve">Table </w:t>
      </w:r>
      <w:r w:rsidR="00DB4BE3">
        <w:rPr>
          <w:noProof/>
          <w:lang w:val="en-US"/>
        </w:rPr>
        <w:t>2</w:t>
      </w:r>
      <w:r w:rsidR="00740211" w:rsidRPr="00CF0DF4">
        <w:rPr>
          <w:lang w:val="en-US"/>
        </w:rPr>
        <w:fldChar w:fldCharType="end"/>
      </w:r>
      <w:r w:rsidR="00740211" w:rsidRPr="00CF0DF4">
        <w:rPr>
          <w:lang w:val="en-US"/>
        </w:rPr>
        <w:t>)</w:t>
      </w:r>
      <w:r w:rsidR="00BF426A" w:rsidRPr="00CF0DF4">
        <w:rPr>
          <w:lang w:val="en-US"/>
        </w:rPr>
        <w:t>.</w:t>
      </w:r>
      <w:r w:rsidR="003602B4" w:rsidRPr="00CF0DF4">
        <w:rPr>
          <w:lang w:val="en-US"/>
        </w:rPr>
        <w:t xml:space="preserve"> The 2D-S is limited to </w:t>
      </w:r>
      <w:r w:rsidR="00781424">
        <w:rPr>
          <w:lang w:val="en-US"/>
        </w:rPr>
        <w:t>hydrometeors</w:t>
      </w:r>
      <w:r w:rsidR="003602B4" w:rsidRPr="00CF0DF4">
        <w:rPr>
          <w:lang w:val="en-US"/>
        </w:rPr>
        <w:t xml:space="preserve"> up to 2,000 µm in diameter and the HVPS</w:t>
      </w:r>
      <w:r w:rsidR="00BB3DA4" w:rsidRPr="00CF0DF4">
        <w:rPr>
          <w:lang w:val="en-US"/>
        </w:rPr>
        <w:t>3</w:t>
      </w:r>
      <w:r w:rsidR="003602B4" w:rsidRPr="00CF0DF4">
        <w:rPr>
          <w:lang w:val="en-US"/>
        </w:rPr>
        <w:t xml:space="preserve"> is limited to </w:t>
      </w:r>
      <w:r w:rsidR="00781424">
        <w:rPr>
          <w:lang w:val="en-US"/>
        </w:rPr>
        <w:t>hydrometeors</w:t>
      </w:r>
      <w:r w:rsidR="003602B4" w:rsidRPr="00CF0DF4">
        <w:rPr>
          <w:lang w:val="en-US"/>
        </w:rPr>
        <w:t xml:space="preserve"> up to 30,000 µm in diameter (</w:t>
      </w:r>
      <w:r w:rsidR="003602B4" w:rsidRPr="00CF0DF4">
        <w:rPr>
          <w:lang w:val="en-US"/>
        </w:rPr>
        <w:fldChar w:fldCharType="begin"/>
      </w:r>
      <w:r w:rsidR="003602B4" w:rsidRPr="00CF0DF4">
        <w:rPr>
          <w:lang w:val="en-US"/>
        </w:rPr>
        <w:instrText xml:space="preserve"> REF _Ref103885783 \h </w:instrText>
      </w:r>
      <w:r w:rsidR="003602B4" w:rsidRPr="00CF0DF4">
        <w:rPr>
          <w:lang w:val="en-US"/>
        </w:rPr>
      </w:r>
      <w:r w:rsidR="003602B4" w:rsidRPr="00CF0DF4">
        <w:rPr>
          <w:lang w:val="en-US"/>
        </w:rPr>
        <w:fldChar w:fldCharType="separate"/>
      </w:r>
      <w:r w:rsidR="00DB4BE3" w:rsidRPr="00CF0DF4">
        <w:rPr>
          <w:lang w:val="en-US"/>
        </w:rPr>
        <w:t xml:space="preserve">Table </w:t>
      </w:r>
      <w:r w:rsidR="00DB4BE3">
        <w:rPr>
          <w:noProof/>
          <w:lang w:val="en-US"/>
        </w:rPr>
        <w:t>2</w:t>
      </w:r>
      <w:r w:rsidR="003602B4" w:rsidRPr="00CF0DF4">
        <w:rPr>
          <w:lang w:val="en-US"/>
        </w:rPr>
        <w:fldChar w:fldCharType="end"/>
      </w:r>
      <w:r w:rsidR="003602B4" w:rsidRPr="00CF0DF4">
        <w:rPr>
          <w:lang w:val="en-US"/>
        </w:rPr>
        <w:t>)</w:t>
      </w:r>
      <w:r w:rsidR="0054681D" w:rsidRPr="00CF0DF4">
        <w:rPr>
          <w:lang w:val="en-US"/>
        </w:rPr>
        <w:t>.</w:t>
      </w:r>
      <w:r w:rsidR="00F7283D">
        <w:rPr>
          <w:lang w:val="en-US"/>
        </w:rPr>
        <w:t xml:space="preserve"> </w:t>
      </w:r>
    </w:p>
    <w:p w14:paraId="2E3CDF5E" w14:textId="57A0E7B7" w:rsidR="00B14FAE" w:rsidRPr="00CF0DF4" w:rsidRDefault="00B14FAE" w:rsidP="00AE7E6D">
      <w:pPr>
        <w:pStyle w:val="Caption-Table"/>
        <w:rPr>
          <w:lang w:val="en-US"/>
        </w:rPr>
      </w:pPr>
      <w:bookmarkStart w:id="34" w:name="_Ref103885783"/>
      <w:bookmarkStart w:id="35" w:name="_Ref105052280"/>
      <w:bookmarkStart w:id="36" w:name="_Toc109123149"/>
      <w:bookmarkStart w:id="37" w:name="_Toc109123156"/>
      <w:r w:rsidRPr="00CF0DF4">
        <w:rPr>
          <w:lang w:val="en-US"/>
        </w:rPr>
        <w:lastRenderedPageBreak/>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2</w:t>
      </w:r>
      <w:r w:rsidRPr="00CF0DF4">
        <w:rPr>
          <w:lang w:val="en-US"/>
        </w:rPr>
        <w:fldChar w:fldCharType="end"/>
      </w:r>
      <w:bookmarkEnd w:id="34"/>
      <w:r w:rsidRPr="00CF0DF4">
        <w:rPr>
          <w:lang w:val="en-US"/>
        </w:rPr>
        <w:t>: Table showing the size range of the bins from the System for Optical Array Probe (OAP) Data Analysis (SODA2) processing of the Two</w:t>
      </w:r>
      <w:r w:rsidR="006C3B39" w:rsidRPr="00CF0DF4">
        <w:rPr>
          <w:lang w:val="en-US"/>
        </w:rPr>
        <w:t>-</w:t>
      </w:r>
      <w:r w:rsidRPr="00CF0DF4">
        <w:rPr>
          <w:lang w:val="en-US"/>
        </w:rPr>
        <w:t>Dimension</w:t>
      </w:r>
      <w:r w:rsidR="006C3B39" w:rsidRPr="00CF0DF4">
        <w:rPr>
          <w:lang w:val="en-US"/>
        </w:rPr>
        <w:t>al</w:t>
      </w:r>
      <w:r w:rsidRPr="00CF0DF4">
        <w:rPr>
          <w:lang w:val="en-US"/>
        </w:rPr>
        <w:t xml:space="preserve"> Stereo (2D-S) probe images and the </w:t>
      </w:r>
      <w:proofErr w:type="gramStart"/>
      <w:r w:rsidRPr="00CF0DF4">
        <w:rPr>
          <w:lang w:val="en-US"/>
        </w:rPr>
        <w:t>High Volume</w:t>
      </w:r>
      <w:proofErr w:type="gramEnd"/>
      <w:r w:rsidRPr="00CF0DF4">
        <w:rPr>
          <w:lang w:val="en-US"/>
        </w:rPr>
        <w:t xml:space="preserve"> Precipitation Spectrometer Version 3 (HVPS3) probe images.</w:t>
      </w:r>
      <w:bookmarkEnd w:id="35"/>
      <w:bookmarkEnd w:id="36"/>
      <w:bookmarkEnd w:id="37"/>
    </w:p>
    <w:tbl>
      <w:tblPr>
        <w:tblpPr w:leftFromText="187" w:rightFromText="187" w:bottomFromText="346" w:vertAnchor="text" w:tblpXSpec="center" w:tblpY="1"/>
        <w:tblOverlap w:val="never"/>
        <w:tblW w:w="9360" w:type="dxa"/>
        <w:tblLook w:val="04A0" w:firstRow="1" w:lastRow="0" w:firstColumn="1" w:lastColumn="0" w:noHBand="0" w:noVBand="1"/>
      </w:tblPr>
      <w:tblGrid>
        <w:gridCol w:w="708"/>
        <w:gridCol w:w="1716"/>
        <w:gridCol w:w="1475"/>
        <w:gridCol w:w="1135"/>
        <w:gridCol w:w="1716"/>
        <w:gridCol w:w="1475"/>
        <w:gridCol w:w="1135"/>
      </w:tblGrid>
      <w:tr w:rsidR="00B14FAE" w:rsidRPr="00CF0DF4" w14:paraId="4F40FCB7" w14:textId="77777777" w:rsidTr="6A504B5C">
        <w:trPr>
          <w:cantSplit/>
          <w:trHeight w:val="300"/>
        </w:trPr>
        <w:tc>
          <w:tcPr>
            <w:tcW w:w="708" w:type="dxa"/>
            <w:tcBorders>
              <w:top w:val="single" w:sz="8" w:space="0" w:color="auto"/>
              <w:left w:val="single" w:sz="8" w:space="0" w:color="auto"/>
              <w:bottom w:val="dotted" w:sz="4" w:space="0" w:color="auto"/>
              <w:right w:val="nil"/>
            </w:tcBorders>
            <w:shd w:val="clear" w:color="auto" w:fill="FFFFFF" w:themeFill="background1"/>
            <w:vAlign w:val="center"/>
            <w:hideMark/>
          </w:tcPr>
          <w:p w14:paraId="7051EAF8" w14:textId="77777777" w:rsidR="00B14FAE" w:rsidRPr="00CF0DF4" w:rsidRDefault="00B14FAE" w:rsidP="007C6889">
            <w:pPr>
              <w:pStyle w:val="Body-Table"/>
              <w:jc w:val="center"/>
              <w:rPr>
                <w:rFonts w:cs="Times New Roman"/>
              </w:rPr>
            </w:pPr>
          </w:p>
        </w:tc>
        <w:tc>
          <w:tcPr>
            <w:tcW w:w="4326" w:type="dxa"/>
            <w:gridSpan w:val="3"/>
            <w:tcBorders>
              <w:top w:val="single" w:sz="8" w:space="0" w:color="auto"/>
              <w:left w:val="dotted" w:sz="4" w:space="0" w:color="auto"/>
              <w:bottom w:val="dotted" w:sz="4" w:space="0" w:color="auto"/>
              <w:right w:val="dotted" w:sz="4" w:space="0" w:color="000000" w:themeColor="text1"/>
            </w:tcBorders>
            <w:shd w:val="clear" w:color="auto" w:fill="FFFFFF" w:themeFill="background1"/>
            <w:vAlign w:val="center"/>
            <w:hideMark/>
          </w:tcPr>
          <w:p w14:paraId="11B0136C" w14:textId="77777777" w:rsidR="00B14FAE" w:rsidRPr="00CF0DF4" w:rsidRDefault="00B14FAE" w:rsidP="007C6889">
            <w:pPr>
              <w:pStyle w:val="Body-Table"/>
              <w:jc w:val="center"/>
              <w:rPr>
                <w:rFonts w:cs="Times New Roman"/>
                <w:b/>
                <w:bCs/>
              </w:rPr>
            </w:pPr>
            <w:r w:rsidRPr="00CF0DF4">
              <w:rPr>
                <w:rFonts w:cs="Times New Roman"/>
                <w:b/>
                <w:bCs/>
              </w:rPr>
              <w:t>2D-S</w:t>
            </w:r>
          </w:p>
        </w:tc>
        <w:tc>
          <w:tcPr>
            <w:tcW w:w="4326" w:type="dxa"/>
            <w:gridSpan w:val="3"/>
            <w:tcBorders>
              <w:top w:val="single" w:sz="8" w:space="0" w:color="auto"/>
              <w:left w:val="nil"/>
              <w:bottom w:val="dotted" w:sz="4" w:space="0" w:color="auto"/>
              <w:right w:val="single" w:sz="8" w:space="0" w:color="000000" w:themeColor="text1"/>
            </w:tcBorders>
            <w:shd w:val="clear" w:color="auto" w:fill="FFFFFF" w:themeFill="background1"/>
            <w:vAlign w:val="center"/>
            <w:hideMark/>
          </w:tcPr>
          <w:p w14:paraId="2AE5DC4B" w14:textId="77777777" w:rsidR="00B14FAE" w:rsidRPr="00CF0DF4" w:rsidRDefault="00B14FAE" w:rsidP="007C6889">
            <w:pPr>
              <w:pStyle w:val="Body-Table"/>
              <w:jc w:val="center"/>
              <w:rPr>
                <w:rFonts w:cs="Times New Roman"/>
                <w:b/>
                <w:bCs/>
              </w:rPr>
            </w:pPr>
            <w:r w:rsidRPr="00CF0DF4">
              <w:rPr>
                <w:rFonts w:cs="Times New Roman"/>
                <w:b/>
                <w:bCs/>
              </w:rPr>
              <w:t>HVPS3</w:t>
            </w:r>
          </w:p>
        </w:tc>
      </w:tr>
      <w:tr w:rsidR="00B14FAE" w:rsidRPr="00CF0DF4" w14:paraId="4655F872" w14:textId="77777777" w:rsidTr="6A504B5C">
        <w:trPr>
          <w:cantSplit/>
          <w:trHeight w:val="64"/>
        </w:trPr>
        <w:tc>
          <w:tcPr>
            <w:tcW w:w="708" w:type="dxa"/>
            <w:tcBorders>
              <w:top w:val="nil"/>
              <w:left w:val="single" w:sz="8" w:space="0" w:color="auto"/>
              <w:bottom w:val="nil"/>
              <w:right w:val="nil"/>
            </w:tcBorders>
            <w:shd w:val="clear" w:color="auto" w:fill="FFFFFF" w:themeFill="background1"/>
            <w:vAlign w:val="center"/>
            <w:hideMark/>
          </w:tcPr>
          <w:p w14:paraId="0B2BDFA9" w14:textId="77777777" w:rsidR="00B14FAE" w:rsidRPr="00CF0DF4" w:rsidRDefault="00B14FAE" w:rsidP="007C6889">
            <w:pPr>
              <w:pStyle w:val="Body-Table"/>
              <w:jc w:val="center"/>
              <w:rPr>
                <w:rFonts w:cs="Times New Roman"/>
                <w:b/>
                <w:bCs/>
              </w:rPr>
            </w:pPr>
            <w:r w:rsidRPr="00CF0DF4">
              <w:rPr>
                <w:rFonts w:cs="Times New Roman"/>
                <w:b/>
                <w:bCs/>
              </w:rPr>
              <w:t>Bin</w:t>
            </w:r>
          </w:p>
        </w:tc>
        <w:tc>
          <w:tcPr>
            <w:tcW w:w="1716" w:type="dxa"/>
            <w:tcBorders>
              <w:top w:val="nil"/>
              <w:left w:val="dotted" w:sz="4" w:space="0" w:color="auto"/>
              <w:bottom w:val="nil"/>
              <w:right w:val="nil"/>
            </w:tcBorders>
            <w:shd w:val="clear" w:color="auto" w:fill="FFFFFF" w:themeFill="background1"/>
            <w:vAlign w:val="center"/>
            <w:hideMark/>
          </w:tcPr>
          <w:p w14:paraId="2D300E71" w14:textId="77777777" w:rsidR="00B14FAE" w:rsidRPr="00CF0DF4" w:rsidRDefault="00B14FAE" w:rsidP="007C6889">
            <w:pPr>
              <w:pStyle w:val="Body-Table"/>
              <w:jc w:val="center"/>
              <w:rPr>
                <w:rFonts w:cs="Times New Roman"/>
                <w:b/>
                <w:bCs/>
              </w:rPr>
            </w:pPr>
            <w:r w:rsidRPr="00CF0DF4">
              <w:rPr>
                <w:rFonts w:cs="Times New Roman"/>
                <w:b/>
                <w:bCs/>
              </w:rPr>
              <w:t>Size Range</w:t>
            </w:r>
          </w:p>
        </w:tc>
        <w:tc>
          <w:tcPr>
            <w:tcW w:w="1475" w:type="dxa"/>
            <w:tcBorders>
              <w:top w:val="nil"/>
              <w:left w:val="nil"/>
              <w:bottom w:val="nil"/>
              <w:right w:val="nil"/>
            </w:tcBorders>
            <w:shd w:val="clear" w:color="auto" w:fill="FFFFFF" w:themeFill="background1"/>
            <w:vAlign w:val="center"/>
            <w:hideMark/>
          </w:tcPr>
          <w:p w14:paraId="27A6D9CC" w14:textId="77777777" w:rsidR="00B14FAE" w:rsidRPr="00CF0DF4" w:rsidRDefault="00B14FAE" w:rsidP="007C6889">
            <w:pPr>
              <w:pStyle w:val="Body-Table"/>
              <w:jc w:val="center"/>
              <w:rPr>
                <w:rFonts w:cs="Times New Roman"/>
                <w:b/>
                <w:bCs/>
              </w:rPr>
            </w:pPr>
            <w:r w:rsidRPr="00CF0DF4">
              <w:rPr>
                <w:rFonts w:cs="Times New Roman"/>
                <w:b/>
                <w:bCs/>
              </w:rPr>
              <w:t>Midpoint</w:t>
            </w:r>
          </w:p>
        </w:tc>
        <w:tc>
          <w:tcPr>
            <w:tcW w:w="1135" w:type="dxa"/>
            <w:tcBorders>
              <w:top w:val="nil"/>
              <w:left w:val="nil"/>
              <w:bottom w:val="nil"/>
              <w:right w:val="dotted" w:sz="4" w:space="0" w:color="auto"/>
            </w:tcBorders>
            <w:shd w:val="clear" w:color="auto" w:fill="FFFFFF" w:themeFill="background1"/>
            <w:vAlign w:val="center"/>
            <w:hideMark/>
          </w:tcPr>
          <w:p w14:paraId="46FE2B4B" w14:textId="77777777" w:rsidR="00B14FAE" w:rsidRPr="00CF0DF4" w:rsidRDefault="00B14FAE" w:rsidP="007C6889">
            <w:pPr>
              <w:pStyle w:val="Body-Table"/>
              <w:jc w:val="center"/>
              <w:rPr>
                <w:rFonts w:cs="Times New Roman"/>
                <w:b/>
                <w:bCs/>
              </w:rPr>
            </w:pPr>
            <w:r w:rsidRPr="00CF0DF4">
              <w:rPr>
                <w:rFonts w:cs="Times New Roman"/>
                <w:b/>
                <w:bCs/>
              </w:rPr>
              <w:t>Bin Size</w:t>
            </w:r>
          </w:p>
        </w:tc>
        <w:tc>
          <w:tcPr>
            <w:tcW w:w="1716" w:type="dxa"/>
            <w:tcBorders>
              <w:top w:val="nil"/>
              <w:left w:val="nil"/>
              <w:bottom w:val="nil"/>
              <w:right w:val="nil"/>
            </w:tcBorders>
            <w:shd w:val="clear" w:color="auto" w:fill="FFFFFF" w:themeFill="background1"/>
            <w:vAlign w:val="center"/>
            <w:hideMark/>
          </w:tcPr>
          <w:p w14:paraId="1FCFC154" w14:textId="77777777" w:rsidR="00B14FAE" w:rsidRPr="00CF0DF4" w:rsidRDefault="00B14FAE" w:rsidP="007C6889">
            <w:pPr>
              <w:pStyle w:val="Body-Table"/>
              <w:jc w:val="center"/>
              <w:rPr>
                <w:rFonts w:cs="Times New Roman"/>
                <w:b/>
                <w:bCs/>
              </w:rPr>
            </w:pPr>
            <w:r w:rsidRPr="00CF0DF4">
              <w:rPr>
                <w:rFonts w:cs="Times New Roman"/>
                <w:b/>
                <w:bCs/>
              </w:rPr>
              <w:t>Size Range</w:t>
            </w:r>
          </w:p>
        </w:tc>
        <w:tc>
          <w:tcPr>
            <w:tcW w:w="1475" w:type="dxa"/>
            <w:tcBorders>
              <w:top w:val="nil"/>
              <w:left w:val="nil"/>
              <w:bottom w:val="nil"/>
              <w:right w:val="nil"/>
            </w:tcBorders>
            <w:shd w:val="clear" w:color="auto" w:fill="FFFFFF" w:themeFill="background1"/>
            <w:vAlign w:val="center"/>
            <w:hideMark/>
          </w:tcPr>
          <w:p w14:paraId="00386845" w14:textId="77777777" w:rsidR="00B14FAE" w:rsidRPr="00CF0DF4" w:rsidRDefault="00B14FAE" w:rsidP="007C6889">
            <w:pPr>
              <w:pStyle w:val="Body-Table"/>
              <w:jc w:val="center"/>
              <w:rPr>
                <w:rFonts w:cs="Times New Roman"/>
                <w:b/>
                <w:bCs/>
              </w:rPr>
            </w:pPr>
            <w:r w:rsidRPr="00CF0DF4">
              <w:rPr>
                <w:rFonts w:cs="Times New Roman"/>
                <w:b/>
                <w:bCs/>
              </w:rPr>
              <w:t>Midpoint</w:t>
            </w:r>
          </w:p>
        </w:tc>
        <w:tc>
          <w:tcPr>
            <w:tcW w:w="1135" w:type="dxa"/>
            <w:tcBorders>
              <w:top w:val="nil"/>
              <w:left w:val="nil"/>
              <w:bottom w:val="nil"/>
              <w:right w:val="single" w:sz="8" w:space="0" w:color="auto"/>
            </w:tcBorders>
            <w:shd w:val="clear" w:color="auto" w:fill="FFFFFF" w:themeFill="background1"/>
            <w:vAlign w:val="center"/>
            <w:hideMark/>
          </w:tcPr>
          <w:p w14:paraId="0F04CDC0" w14:textId="77777777" w:rsidR="00B14FAE" w:rsidRPr="00CF0DF4" w:rsidRDefault="00B14FAE" w:rsidP="007C6889">
            <w:pPr>
              <w:pStyle w:val="Body-Table"/>
              <w:jc w:val="center"/>
              <w:rPr>
                <w:rFonts w:cs="Times New Roman"/>
                <w:b/>
                <w:bCs/>
              </w:rPr>
            </w:pPr>
            <w:r w:rsidRPr="00CF0DF4">
              <w:rPr>
                <w:rFonts w:cs="Times New Roman"/>
                <w:b/>
                <w:bCs/>
              </w:rPr>
              <w:t>Bin Size</w:t>
            </w:r>
          </w:p>
        </w:tc>
      </w:tr>
      <w:tr w:rsidR="00B14FAE" w:rsidRPr="00CF0DF4" w14:paraId="10EAC513" w14:textId="77777777" w:rsidTr="6A504B5C">
        <w:trPr>
          <w:cantSplit/>
          <w:trHeight w:val="74"/>
        </w:trPr>
        <w:tc>
          <w:tcPr>
            <w:tcW w:w="708" w:type="dxa"/>
            <w:tcBorders>
              <w:top w:val="nil"/>
              <w:left w:val="single" w:sz="8" w:space="0" w:color="auto"/>
              <w:bottom w:val="single" w:sz="4" w:space="0" w:color="auto"/>
              <w:right w:val="nil"/>
            </w:tcBorders>
            <w:shd w:val="clear" w:color="auto" w:fill="FFFFFF" w:themeFill="background1"/>
            <w:vAlign w:val="center"/>
            <w:hideMark/>
          </w:tcPr>
          <w:p w14:paraId="6B291060" w14:textId="77777777" w:rsidR="00B14FAE" w:rsidRPr="00CF0DF4" w:rsidRDefault="00B14FAE" w:rsidP="007C6889">
            <w:pPr>
              <w:pStyle w:val="Body-Table"/>
              <w:jc w:val="center"/>
              <w:rPr>
                <w:rFonts w:cs="Times New Roman"/>
                <w:i/>
                <w:iCs/>
              </w:rPr>
            </w:pPr>
            <w:r w:rsidRPr="00CF0DF4">
              <w:rPr>
                <w:rFonts w:cs="Times New Roman"/>
                <w:i/>
                <w:iCs/>
              </w:rPr>
              <w:t>[#]</w:t>
            </w:r>
          </w:p>
        </w:tc>
        <w:tc>
          <w:tcPr>
            <w:tcW w:w="1716" w:type="dxa"/>
            <w:tcBorders>
              <w:top w:val="nil"/>
              <w:left w:val="dotted" w:sz="4" w:space="0" w:color="auto"/>
              <w:bottom w:val="single" w:sz="4" w:space="0" w:color="auto"/>
              <w:right w:val="nil"/>
            </w:tcBorders>
            <w:shd w:val="clear" w:color="auto" w:fill="FFFFFF" w:themeFill="background1"/>
            <w:vAlign w:val="center"/>
            <w:hideMark/>
          </w:tcPr>
          <w:p w14:paraId="21661290" w14:textId="77777777" w:rsidR="00B14FAE" w:rsidRPr="00CF0DF4" w:rsidRDefault="00B14FAE" w:rsidP="007C6889">
            <w:pPr>
              <w:pStyle w:val="Body-Table"/>
              <w:jc w:val="center"/>
              <w:rPr>
                <w:rFonts w:cs="Times New Roman"/>
                <w:i/>
                <w:iCs/>
              </w:rPr>
            </w:pPr>
            <w:r w:rsidRPr="00CF0DF4">
              <w:rPr>
                <w:rFonts w:cs="Times New Roman"/>
                <w:i/>
                <w:iCs/>
              </w:rPr>
              <w:t>[</w:t>
            </w:r>
            <w:proofErr w:type="spellStart"/>
            <w:r w:rsidRPr="00CF0DF4">
              <w:rPr>
                <w:rFonts w:cs="Times New Roman"/>
                <w:i/>
                <w:iCs/>
              </w:rPr>
              <w:t>μm</w:t>
            </w:r>
            <w:proofErr w:type="spellEnd"/>
            <w:r w:rsidRPr="00CF0DF4">
              <w:rPr>
                <w:rFonts w:cs="Times New Roman"/>
                <w:i/>
                <w:iCs/>
              </w:rPr>
              <w:t>]</w:t>
            </w:r>
          </w:p>
        </w:tc>
        <w:tc>
          <w:tcPr>
            <w:tcW w:w="1475" w:type="dxa"/>
            <w:tcBorders>
              <w:top w:val="nil"/>
              <w:left w:val="nil"/>
              <w:bottom w:val="single" w:sz="4" w:space="0" w:color="auto"/>
              <w:right w:val="nil"/>
            </w:tcBorders>
            <w:shd w:val="clear" w:color="auto" w:fill="FFFFFF" w:themeFill="background1"/>
            <w:vAlign w:val="center"/>
            <w:hideMark/>
          </w:tcPr>
          <w:p w14:paraId="63E2D023" w14:textId="77777777" w:rsidR="00B14FAE" w:rsidRPr="00CF0DF4" w:rsidRDefault="00B14FAE" w:rsidP="007C6889">
            <w:pPr>
              <w:pStyle w:val="Body-Table"/>
              <w:jc w:val="center"/>
              <w:rPr>
                <w:rFonts w:cs="Times New Roman"/>
                <w:i/>
                <w:iCs/>
              </w:rPr>
            </w:pPr>
            <w:r w:rsidRPr="00CF0DF4">
              <w:rPr>
                <w:rFonts w:cs="Times New Roman"/>
                <w:i/>
                <w:iCs/>
              </w:rPr>
              <w:t>[</w:t>
            </w:r>
            <w:proofErr w:type="spellStart"/>
            <w:r w:rsidRPr="00CF0DF4">
              <w:rPr>
                <w:rFonts w:cs="Times New Roman"/>
                <w:i/>
                <w:iCs/>
              </w:rPr>
              <w:t>μm</w:t>
            </w:r>
            <w:proofErr w:type="spellEnd"/>
            <w:r w:rsidRPr="00CF0DF4">
              <w:rPr>
                <w:rFonts w:cs="Times New Roman"/>
                <w:i/>
                <w:iCs/>
              </w:rPr>
              <w:t>]</w:t>
            </w:r>
          </w:p>
        </w:tc>
        <w:tc>
          <w:tcPr>
            <w:tcW w:w="1135" w:type="dxa"/>
            <w:tcBorders>
              <w:top w:val="nil"/>
              <w:left w:val="nil"/>
              <w:bottom w:val="single" w:sz="4" w:space="0" w:color="auto"/>
              <w:right w:val="dotted" w:sz="4" w:space="0" w:color="auto"/>
            </w:tcBorders>
            <w:shd w:val="clear" w:color="auto" w:fill="FFFFFF" w:themeFill="background1"/>
            <w:vAlign w:val="center"/>
            <w:hideMark/>
          </w:tcPr>
          <w:p w14:paraId="0F57C6E7" w14:textId="77777777" w:rsidR="00B14FAE" w:rsidRPr="00CF0DF4" w:rsidRDefault="00B14FAE" w:rsidP="007C6889">
            <w:pPr>
              <w:pStyle w:val="Body-Table"/>
              <w:jc w:val="center"/>
              <w:rPr>
                <w:rFonts w:cs="Times New Roman"/>
                <w:i/>
                <w:iCs/>
              </w:rPr>
            </w:pPr>
            <w:r w:rsidRPr="00CF0DF4">
              <w:rPr>
                <w:rFonts w:cs="Times New Roman"/>
                <w:i/>
                <w:iCs/>
              </w:rPr>
              <w:t>[</w:t>
            </w:r>
            <w:proofErr w:type="spellStart"/>
            <w:r w:rsidRPr="00CF0DF4">
              <w:rPr>
                <w:rFonts w:cs="Times New Roman"/>
                <w:i/>
                <w:iCs/>
              </w:rPr>
              <w:t>μm</w:t>
            </w:r>
            <w:proofErr w:type="spellEnd"/>
            <w:r w:rsidRPr="00CF0DF4">
              <w:rPr>
                <w:rFonts w:cs="Times New Roman"/>
                <w:i/>
                <w:iCs/>
              </w:rPr>
              <w:t>]</w:t>
            </w:r>
          </w:p>
        </w:tc>
        <w:tc>
          <w:tcPr>
            <w:tcW w:w="1716" w:type="dxa"/>
            <w:tcBorders>
              <w:top w:val="nil"/>
              <w:left w:val="nil"/>
              <w:bottom w:val="single" w:sz="4" w:space="0" w:color="auto"/>
              <w:right w:val="nil"/>
            </w:tcBorders>
            <w:shd w:val="clear" w:color="auto" w:fill="FFFFFF" w:themeFill="background1"/>
            <w:vAlign w:val="center"/>
            <w:hideMark/>
          </w:tcPr>
          <w:p w14:paraId="35764CE2" w14:textId="77777777" w:rsidR="00B14FAE" w:rsidRPr="00CF0DF4" w:rsidRDefault="00B14FAE" w:rsidP="007C6889">
            <w:pPr>
              <w:pStyle w:val="Body-Table"/>
              <w:jc w:val="center"/>
              <w:rPr>
                <w:rFonts w:cs="Times New Roman"/>
                <w:i/>
                <w:iCs/>
              </w:rPr>
            </w:pPr>
            <w:r w:rsidRPr="00CF0DF4">
              <w:rPr>
                <w:rFonts w:cs="Times New Roman"/>
                <w:i/>
                <w:iCs/>
              </w:rPr>
              <w:t>[</w:t>
            </w:r>
            <w:proofErr w:type="spellStart"/>
            <w:r w:rsidRPr="00CF0DF4">
              <w:rPr>
                <w:rFonts w:cs="Times New Roman"/>
                <w:i/>
                <w:iCs/>
              </w:rPr>
              <w:t>μm</w:t>
            </w:r>
            <w:proofErr w:type="spellEnd"/>
            <w:r w:rsidRPr="00CF0DF4">
              <w:rPr>
                <w:rFonts w:cs="Times New Roman"/>
                <w:i/>
                <w:iCs/>
              </w:rPr>
              <w:t>]</w:t>
            </w:r>
          </w:p>
        </w:tc>
        <w:tc>
          <w:tcPr>
            <w:tcW w:w="1475" w:type="dxa"/>
            <w:tcBorders>
              <w:top w:val="nil"/>
              <w:left w:val="nil"/>
              <w:bottom w:val="single" w:sz="4" w:space="0" w:color="auto"/>
              <w:right w:val="nil"/>
            </w:tcBorders>
            <w:shd w:val="clear" w:color="auto" w:fill="FFFFFF" w:themeFill="background1"/>
            <w:vAlign w:val="center"/>
            <w:hideMark/>
          </w:tcPr>
          <w:p w14:paraId="16704016" w14:textId="77777777" w:rsidR="00B14FAE" w:rsidRPr="00CF0DF4" w:rsidRDefault="00B14FAE" w:rsidP="007C6889">
            <w:pPr>
              <w:pStyle w:val="Body-Table"/>
              <w:jc w:val="center"/>
              <w:rPr>
                <w:rFonts w:cs="Times New Roman"/>
                <w:i/>
                <w:iCs/>
              </w:rPr>
            </w:pPr>
            <w:r w:rsidRPr="00CF0DF4">
              <w:rPr>
                <w:rFonts w:cs="Times New Roman"/>
                <w:i/>
                <w:iCs/>
              </w:rPr>
              <w:t>[</w:t>
            </w:r>
            <w:proofErr w:type="spellStart"/>
            <w:r w:rsidRPr="00CF0DF4">
              <w:rPr>
                <w:rFonts w:cs="Times New Roman"/>
                <w:i/>
                <w:iCs/>
              </w:rPr>
              <w:t>μm</w:t>
            </w:r>
            <w:proofErr w:type="spellEnd"/>
            <w:r w:rsidRPr="00CF0DF4">
              <w:rPr>
                <w:rFonts w:cs="Times New Roman"/>
                <w:i/>
                <w:iCs/>
              </w:rPr>
              <w:t>]</w:t>
            </w:r>
          </w:p>
        </w:tc>
        <w:tc>
          <w:tcPr>
            <w:tcW w:w="1135" w:type="dxa"/>
            <w:tcBorders>
              <w:top w:val="nil"/>
              <w:left w:val="nil"/>
              <w:bottom w:val="single" w:sz="4" w:space="0" w:color="auto"/>
              <w:right w:val="single" w:sz="8" w:space="0" w:color="auto"/>
            </w:tcBorders>
            <w:shd w:val="clear" w:color="auto" w:fill="FFFFFF" w:themeFill="background1"/>
            <w:vAlign w:val="center"/>
            <w:hideMark/>
          </w:tcPr>
          <w:p w14:paraId="6B57587E" w14:textId="77777777" w:rsidR="00B14FAE" w:rsidRPr="00CF0DF4" w:rsidRDefault="00B14FAE" w:rsidP="007C6889">
            <w:pPr>
              <w:pStyle w:val="Body-Table"/>
              <w:jc w:val="center"/>
              <w:rPr>
                <w:rFonts w:cs="Times New Roman"/>
                <w:i/>
                <w:iCs/>
              </w:rPr>
            </w:pPr>
            <w:r w:rsidRPr="00CF0DF4">
              <w:rPr>
                <w:rFonts w:cs="Times New Roman"/>
                <w:i/>
                <w:iCs/>
              </w:rPr>
              <w:t>[</w:t>
            </w:r>
            <w:proofErr w:type="spellStart"/>
            <w:r w:rsidRPr="00CF0DF4">
              <w:rPr>
                <w:rFonts w:cs="Times New Roman"/>
                <w:i/>
                <w:iCs/>
              </w:rPr>
              <w:t>μm</w:t>
            </w:r>
            <w:proofErr w:type="spellEnd"/>
            <w:r w:rsidRPr="00CF0DF4">
              <w:rPr>
                <w:rFonts w:cs="Times New Roman"/>
                <w:i/>
                <w:iCs/>
              </w:rPr>
              <w:t>]</w:t>
            </w:r>
          </w:p>
        </w:tc>
      </w:tr>
      <w:tr w:rsidR="00B14FAE" w:rsidRPr="00CF0DF4" w14:paraId="3A545922" w14:textId="77777777" w:rsidTr="6A504B5C">
        <w:trPr>
          <w:cantSplit/>
          <w:trHeight w:val="64"/>
        </w:trPr>
        <w:tc>
          <w:tcPr>
            <w:tcW w:w="708" w:type="dxa"/>
            <w:tcBorders>
              <w:top w:val="nil"/>
              <w:left w:val="single" w:sz="8" w:space="0" w:color="auto"/>
              <w:bottom w:val="nil"/>
              <w:right w:val="nil"/>
            </w:tcBorders>
            <w:shd w:val="clear" w:color="auto" w:fill="FFFFFF" w:themeFill="background1"/>
            <w:vAlign w:val="center"/>
            <w:hideMark/>
          </w:tcPr>
          <w:p w14:paraId="19972194" w14:textId="77777777" w:rsidR="00B14FAE" w:rsidRPr="00CF0DF4" w:rsidRDefault="00B14FAE" w:rsidP="007C6889">
            <w:pPr>
              <w:pStyle w:val="Body-Table"/>
              <w:jc w:val="center"/>
              <w:rPr>
                <w:rFonts w:cs="Times New Roman"/>
              </w:rPr>
            </w:pPr>
            <w:r w:rsidRPr="00CF0DF4">
              <w:rPr>
                <w:rFonts w:cs="Times New Roman"/>
              </w:rPr>
              <w:t>1</w:t>
            </w:r>
          </w:p>
        </w:tc>
        <w:tc>
          <w:tcPr>
            <w:tcW w:w="1716" w:type="dxa"/>
            <w:tcBorders>
              <w:top w:val="nil"/>
              <w:left w:val="dotted" w:sz="4" w:space="0" w:color="auto"/>
              <w:bottom w:val="nil"/>
              <w:right w:val="nil"/>
            </w:tcBorders>
            <w:shd w:val="clear" w:color="auto" w:fill="FFFFFF" w:themeFill="background1"/>
            <w:vAlign w:val="center"/>
            <w:hideMark/>
          </w:tcPr>
          <w:p w14:paraId="55EFDCAB" w14:textId="77777777" w:rsidR="00B14FAE" w:rsidRPr="00CF0DF4" w:rsidRDefault="00B14FAE" w:rsidP="007C6889">
            <w:pPr>
              <w:pStyle w:val="Body-Table"/>
              <w:jc w:val="center"/>
              <w:rPr>
                <w:rFonts w:cs="Times New Roman"/>
              </w:rPr>
            </w:pPr>
            <w:r w:rsidRPr="00CF0DF4">
              <w:rPr>
                <w:rFonts w:cs="Times New Roman"/>
              </w:rPr>
              <w:t>5-15</w:t>
            </w:r>
          </w:p>
        </w:tc>
        <w:tc>
          <w:tcPr>
            <w:tcW w:w="1475" w:type="dxa"/>
            <w:tcBorders>
              <w:top w:val="nil"/>
              <w:left w:val="nil"/>
              <w:bottom w:val="nil"/>
              <w:right w:val="nil"/>
            </w:tcBorders>
            <w:shd w:val="clear" w:color="auto" w:fill="FFFFFF" w:themeFill="background1"/>
            <w:vAlign w:val="center"/>
            <w:hideMark/>
          </w:tcPr>
          <w:p w14:paraId="6DF164E9" w14:textId="77777777" w:rsidR="00B14FAE" w:rsidRPr="00CF0DF4" w:rsidRDefault="00B14FAE" w:rsidP="007C6889">
            <w:pPr>
              <w:pStyle w:val="Body-Table"/>
              <w:jc w:val="center"/>
              <w:rPr>
                <w:rFonts w:cs="Times New Roman"/>
              </w:rPr>
            </w:pPr>
            <w:r w:rsidRPr="00CF0DF4">
              <w:rPr>
                <w:rFonts w:cs="Times New Roman"/>
              </w:rPr>
              <w:t>10</w:t>
            </w:r>
          </w:p>
        </w:tc>
        <w:tc>
          <w:tcPr>
            <w:tcW w:w="1135" w:type="dxa"/>
            <w:tcBorders>
              <w:top w:val="nil"/>
              <w:left w:val="nil"/>
              <w:bottom w:val="nil"/>
              <w:right w:val="dotted" w:sz="4" w:space="0" w:color="auto"/>
            </w:tcBorders>
            <w:shd w:val="clear" w:color="auto" w:fill="FFFFFF" w:themeFill="background1"/>
            <w:vAlign w:val="center"/>
            <w:hideMark/>
          </w:tcPr>
          <w:p w14:paraId="60B921D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39546E8E" w14:textId="77777777" w:rsidR="00B14FAE" w:rsidRPr="00CF0DF4" w:rsidRDefault="00B14FAE" w:rsidP="007C6889">
            <w:pPr>
              <w:pStyle w:val="Body-Table"/>
              <w:jc w:val="center"/>
              <w:rPr>
                <w:rFonts w:cs="Times New Roman"/>
              </w:rPr>
            </w:pPr>
            <w:r w:rsidRPr="00CF0DF4">
              <w:rPr>
                <w:rFonts w:cs="Times New Roman"/>
              </w:rPr>
              <w:t>200-400</w:t>
            </w:r>
          </w:p>
        </w:tc>
        <w:tc>
          <w:tcPr>
            <w:tcW w:w="1475" w:type="dxa"/>
            <w:tcBorders>
              <w:top w:val="nil"/>
              <w:left w:val="nil"/>
              <w:bottom w:val="nil"/>
              <w:right w:val="nil"/>
            </w:tcBorders>
            <w:shd w:val="clear" w:color="auto" w:fill="FFFFFF" w:themeFill="background1"/>
            <w:vAlign w:val="center"/>
            <w:hideMark/>
          </w:tcPr>
          <w:p w14:paraId="77220690" w14:textId="77777777" w:rsidR="00B14FAE" w:rsidRPr="00CF0DF4" w:rsidRDefault="00B14FAE" w:rsidP="007C6889">
            <w:pPr>
              <w:pStyle w:val="Body-Table"/>
              <w:jc w:val="center"/>
              <w:rPr>
                <w:rFonts w:cs="Times New Roman"/>
              </w:rPr>
            </w:pPr>
            <w:r w:rsidRPr="00CF0DF4">
              <w:rPr>
                <w:rFonts w:cs="Times New Roman"/>
              </w:rPr>
              <w:t>300</w:t>
            </w:r>
          </w:p>
        </w:tc>
        <w:tc>
          <w:tcPr>
            <w:tcW w:w="1135" w:type="dxa"/>
            <w:tcBorders>
              <w:top w:val="nil"/>
              <w:left w:val="nil"/>
              <w:bottom w:val="nil"/>
              <w:right w:val="single" w:sz="8" w:space="0" w:color="auto"/>
            </w:tcBorders>
            <w:shd w:val="clear" w:color="auto" w:fill="FFFFFF" w:themeFill="background1"/>
            <w:vAlign w:val="center"/>
            <w:hideMark/>
          </w:tcPr>
          <w:p w14:paraId="6F62BF5E"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58DEB5E2"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50EC3B0D" w14:textId="77777777" w:rsidR="00B14FAE" w:rsidRPr="00CF0DF4" w:rsidRDefault="00B14FAE" w:rsidP="007C6889">
            <w:pPr>
              <w:pStyle w:val="Body-Table"/>
              <w:jc w:val="center"/>
              <w:rPr>
                <w:rFonts w:cs="Times New Roman"/>
              </w:rPr>
            </w:pPr>
            <w:r w:rsidRPr="00CF0DF4">
              <w:rPr>
                <w:rFonts w:cs="Times New Roman"/>
              </w:rPr>
              <w:t>2</w:t>
            </w:r>
          </w:p>
        </w:tc>
        <w:tc>
          <w:tcPr>
            <w:tcW w:w="1716" w:type="dxa"/>
            <w:tcBorders>
              <w:top w:val="nil"/>
              <w:left w:val="dotted" w:sz="4" w:space="0" w:color="auto"/>
              <w:bottom w:val="nil"/>
              <w:right w:val="nil"/>
            </w:tcBorders>
            <w:shd w:val="clear" w:color="auto" w:fill="FFFFFF" w:themeFill="background1"/>
            <w:vAlign w:val="center"/>
            <w:hideMark/>
          </w:tcPr>
          <w:p w14:paraId="11A2496D" w14:textId="77777777" w:rsidR="00B14FAE" w:rsidRPr="00CF0DF4" w:rsidRDefault="00B14FAE" w:rsidP="007C6889">
            <w:pPr>
              <w:pStyle w:val="Body-Table"/>
              <w:jc w:val="center"/>
              <w:rPr>
                <w:rFonts w:cs="Times New Roman"/>
              </w:rPr>
            </w:pPr>
            <w:r w:rsidRPr="00CF0DF4">
              <w:rPr>
                <w:rFonts w:cs="Times New Roman"/>
              </w:rPr>
              <w:t>15-25</w:t>
            </w:r>
          </w:p>
        </w:tc>
        <w:tc>
          <w:tcPr>
            <w:tcW w:w="1475" w:type="dxa"/>
            <w:tcBorders>
              <w:top w:val="nil"/>
              <w:left w:val="nil"/>
              <w:bottom w:val="nil"/>
              <w:right w:val="nil"/>
            </w:tcBorders>
            <w:shd w:val="clear" w:color="auto" w:fill="FFFFFF" w:themeFill="background1"/>
            <w:vAlign w:val="center"/>
            <w:hideMark/>
          </w:tcPr>
          <w:p w14:paraId="19E79D10" w14:textId="77777777" w:rsidR="00B14FAE" w:rsidRPr="00CF0DF4" w:rsidRDefault="00B14FAE" w:rsidP="007C6889">
            <w:pPr>
              <w:pStyle w:val="Body-Table"/>
              <w:jc w:val="center"/>
              <w:rPr>
                <w:rFonts w:cs="Times New Roman"/>
              </w:rPr>
            </w:pPr>
            <w:r w:rsidRPr="00CF0DF4">
              <w:rPr>
                <w:rFonts w:cs="Times New Roman"/>
              </w:rPr>
              <w:t>20</w:t>
            </w:r>
          </w:p>
        </w:tc>
        <w:tc>
          <w:tcPr>
            <w:tcW w:w="1135" w:type="dxa"/>
            <w:tcBorders>
              <w:top w:val="nil"/>
              <w:left w:val="nil"/>
              <w:bottom w:val="nil"/>
              <w:right w:val="dotted" w:sz="4" w:space="0" w:color="auto"/>
            </w:tcBorders>
            <w:shd w:val="clear" w:color="auto" w:fill="FFFFFF" w:themeFill="background1"/>
            <w:vAlign w:val="center"/>
            <w:hideMark/>
          </w:tcPr>
          <w:p w14:paraId="658126B5"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26B6DAED" w14:textId="77777777" w:rsidR="00B14FAE" w:rsidRPr="00CF0DF4" w:rsidRDefault="00B14FAE" w:rsidP="007C6889">
            <w:pPr>
              <w:pStyle w:val="Body-Table"/>
              <w:jc w:val="center"/>
              <w:rPr>
                <w:rFonts w:cs="Times New Roman"/>
              </w:rPr>
            </w:pPr>
            <w:r w:rsidRPr="00CF0DF4">
              <w:rPr>
                <w:rFonts w:cs="Times New Roman"/>
              </w:rPr>
              <w:t>400-600</w:t>
            </w:r>
          </w:p>
        </w:tc>
        <w:tc>
          <w:tcPr>
            <w:tcW w:w="1475" w:type="dxa"/>
            <w:tcBorders>
              <w:top w:val="nil"/>
              <w:left w:val="nil"/>
              <w:bottom w:val="nil"/>
              <w:right w:val="nil"/>
            </w:tcBorders>
            <w:shd w:val="clear" w:color="auto" w:fill="FFFFFF" w:themeFill="background1"/>
            <w:vAlign w:val="center"/>
            <w:hideMark/>
          </w:tcPr>
          <w:p w14:paraId="4FF98286" w14:textId="77777777" w:rsidR="00B14FAE" w:rsidRPr="00CF0DF4" w:rsidRDefault="00B14FAE" w:rsidP="007C6889">
            <w:pPr>
              <w:pStyle w:val="Body-Table"/>
              <w:jc w:val="center"/>
              <w:rPr>
                <w:rFonts w:cs="Times New Roman"/>
              </w:rPr>
            </w:pPr>
            <w:r w:rsidRPr="00CF0DF4">
              <w:rPr>
                <w:rFonts w:cs="Times New Roman"/>
              </w:rPr>
              <w:t>500</w:t>
            </w:r>
          </w:p>
        </w:tc>
        <w:tc>
          <w:tcPr>
            <w:tcW w:w="1135" w:type="dxa"/>
            <w:tcBorders>
              <w:top w:val="nil"/>
              <w:left w:val="nil"/>
              <w:bottom w:val="nil"/>
              <w:right w:val="single" w:sz="8" w:space="0" w:color="auto"/>
            </w:tcBorders>
            <w:shd w:val="clear" w:color="auto" w:fill="FFFFFF" w:themeFill="background1"/>
            <w:vAlign w:val="center"/>
            <w:hideMark/>
          </w:tcPr>
          <w:p w14:paraId="32113303"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2B38E82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72F476FD" w14:textId="77777777" w:rsidR="00B14FAE" w:rsidRPr="00CF0DF4" w:rsidRDefault="00B14FAE" w:rsidP="007C6889">
            <w:pPr>
              <w:pStyle w:val="Body-Table"/>
              <w:jc w:val="center"/>
              <w:rPr>
                <w:rFonts w:cs="Times New Roman"/>
              </w:rPr>
            </w:pPr>
            <w:r w:rsidRPr="00CF0DF4">
              <w:rPr>
                <w:rFonts w:cs="Times New Roman"/>
              </w:rPr>
              <w:t>3</w:t>
            </w:r>
          </w:p>
        </w:tc>
        <w:tc>
          <w:tcPr>
            <w:tcW w:w="1716" w:type="dxa"/>
            <w:tcBorders>
              <w:top w:val="nil"/>
              <w:left w:val="dotted" w:sz="4" w:space="0" w:color="auto"/>
              <w:bottom w:val="nil"/>
              <w:right w:val="nil"/>
            </w:tcBorders>
            <w:shd w:val="clear" w:color="auto" w:fill="FFFFFF" w:themeFill="background1"/>
            <w:vAlign w:val="center"/>
            <w:hideMark/>
          </w:tcPr>
          <w:p w14:paraId="2785CA96" w14:textId="77777777" w:rsidR="00B14FAE" w:rsidRPr="00CF0DF4" w:rsidRDefault="00B14FAE" w:rsidP="007C6889">
            <w:pPr>
              <w:pStyle w:val="Body-Table"/>
              <w:jc w:val="center"/>
              <w:rPr>
                <w:rFonts w:cs="Times New Roman"/>
              </w:rPr>
            </w:pPr>
            <w:r w:rsidRPr="00CF0DF4">
              <w:rPr>
                <w:rFonts w:cs="Times New Roman"/>
              </w:rPr>
              <w:t>25-35</w:t>
            </w:r>
          </w:p>
        </w:tc>
        <w:tc>
          <w:tcPr>
            <w:tcW w:w="1475" w:type="dxa"/>
            <w:tcBorders>
              <w:top w:val="nil"/>
              <w:left w:val="nil"/>
              <w:bottom w:val="nil"/>
              <w:right w:val="nil"/>
            </w:tcBorders>
            <w:shd w:val="clear" w:color="auto" w:fill="FFFFFF" w:themeFill="background1"/>
            <w:vAlign w:val="center"/>
            <w:hideMark/>
          </w:tcPr>
          <w:p w14:paraId="52B9ADF0" w14:textId="77777777" w:rsidR="00B14FAE" w:rsidRPr="00CF0DF4" w:rsidRDefault="00B14FAE" w:rsidP="007C6889">
            <w:pPr>
              <w:pStyle w:val="Body-Table"/>
              <w:jc w:val="center"/>
              <w:rPr>
                <w:rFonts w:cs="Times New Roman"/>
              </w:rPr>
            </w:pPr>
            <w:r w:rsidRPr="00CF0DF4">
              <w:rPr>
                <w:rFonts w:cs="Times New Roman"/>
              </w:rPr>
              <w:t>30</w:t>
            </w:r>
          </w:p>
        </w:tc>
        <w:tc>
          <w:tcPr>
            <w:tcW w:w="1135" w:type="dxa"/>
            <w:tcBorders>
              <w:top w:val="nil"/>
              <w:left w:val="nil"/>
              <w:bottom w:val="nil"/>
              <w:right w:val="dotted" w:sz="4" w:space="0" w:color="auto"/>
            </w:tcBorders>
            <w:shd w:val="clear" w:color="auto" w:fill="FFFFFF" w:themeFill="background1"/>
            <w:vAlign w:val="center"/>
            <w:hideMark/>
          </w:tcPr>
          <w:p w14:paraId="3852BB0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58DE22DB" w14:textId="77777777" w:rsidR="00B14FAE" w:rsidRPr="00CF0DF4" w:rsidRDefault="00B14FAE" w:rsidP="007C6889">
            <w:pPr>
              <w:pStyle w:val="Body-Table"/>
              <w:jc w:val="center"/>
              <w:rPr>
                <w:rFonts w:cs="Times New Roman"/>
              </w:rPr>
            </w:pPr>
            <w:r w:rsidRPr="00CF0DF4">
              <w:rPr>
                <w:rFonts w:cs="Times New Roman"/>
              </w:rPr>
              <w:t>600-800</w:t>
            </w:r>
          </w:p>
        </w:tc>
        <w:tc>
          <w:tcPr>
            <w:tcW w:w="1475" w:type="dxa"/>
            <w:tcBorders>
              <w:top w:val="nil"/>
              <w:left w:val="nil"/>
              <w:bottom w:val="nil"/>
              <w:right w:val="nil"/>
            </w:tcBorders>
            <w:shd w:val="clear" w:color="auto" w:fill="FFFFFF" w:themeFill="background1"/>
            <w:vAlign w:val="center"/>
            <w:hideMark/>
          </w:tcPr>
          <w:p w14:paraId="5CEC1C8D" w14:textId="77777777" w:rsidR="00B14FAE" w:rsidRPr="00CF0DF4" w:rsidRDefault="00B14FAE" w:rsidP="007C6889">
            <w:pPr>
              <w:pStyle w:val="Body-Table"/>
              <w:jc w:val="center"/>
              <w:rPr>
                <w:rFonts w:cs="Times New Roman"/>
              </w:rPr>
            </w:pPr>
            <w:r w:rsidRPr="00CF0DF4">
              <w:rPr>
                <w:rFonts w:cs="Times New Roman"/>
              </w:rPr>
              <w:t>700</w:t>
            </w:r>
          </w:p>
        </w:tc>
        <w:tc>
          <w:tcPr>
            <w:tcW w:w="1135" w:type="dxa"/>
            <w:tcBorders>
              <w:top w:val="nil"/>
              <w:left w:val="nil"/>
              <w:bottom w:val="nil"/>
              <w:right w:val="single" w:sz="8" w:space="0" w:color="auto"/>
            </w:tcBorders>
            <w:shd w:val="clear" w:color="auto" w:fill="FFFFFF" w:themeFill="background1"/>
            <w:vAlign w:val="center"/>
            <w:hideMark/>
          </w:tcPr>
          <w:p w14:paraId="691023C3"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721BC291"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412FD53F" w14:textId="77777777" w:rsidR="00B14FAE" w:rsidRPr="00CF0DF4" w:rsidRDefault="00B14FAE" w:rsidP="007C6889">
            <w:pPr>
              <w:pStyle w:val="Body-Table"/>
              <w:jc w:val="center"/>
              <w:rPr>
                <w:rFonts w:cs="Times New Roman"/>
              </w:rPr>
            </w:pPr>
            <w:r w:rsidRPr="00CF0DF4">
              <w:rPr>
                <w:rFonts w:cs="Times New Roman"/>
              </w:rPr>
              <w:t>4</w:t>
            </w:r>
          </w:p>
        </w:tc>
        <w:tc>
          <w:tcPr>
            <w:tcW w:w="1716" w:type="dxa"/>
            <w:tcBorders>
              <w:top w:val="nil"/>
              <w:left w:val="dotted" w:sz="4" w:space="0" w:color="auto"/>
              <w:bottom w:val="nil"/>
              <w:right w:val="nil"/>
            </w:tcBorders>
            <w:shd w:val="clear" w:color="auto" w:fill="FFFFFF" w:themeFill="background1"/>
            <w:vAlign w:val="center"/>
            <w:hideMark/>
          </w:tcPr>
          <w:p w14:paraId="6314B5FD" w14:textId="77777777" w:rsidR="00B14FAE" w:rsidRPr="00CF0DF4" w:rsidRDefault="00B14FAE" w:rsidP="007C6889">
            <w:pPr>
              <w:pStyle w:val="Body-Table"/>
              <w:jc w:val="center"/>
              <w:rPr>
                <w:rFonts w:cs="Times New Roman"/>
              </w:rPr>
            </w:pPr>
            <w:r w:rsidRPr="00CF0DF4">
              <w:rPr>
                <w:rFonts w:cs="Times New Roman"/>
              </w:rPr>
              <w:t>35-45</w:t>
            </w:r>
          </w:p>
        </w:tc>
        <w:tc>
          <w:tcPr>
            <w:tcW w:w="1475" w:type="dxa"/>
            <w:tcBorders>
              <w:top w:val="nil"/>
              <w:left w:val="nil"/>
              <w:bottom w:val="nil"/>
              <w:right w:val="nil"/>
            </w:tcBorders>
            <w:shd w:val="clear" w:color="auto" w:fill="FFFFFF" w:themeFill="background1"/>
            <w:vAlign w:val="center"/>
            <w:hideMark/>
          </w:tcPr>
          <w:p w14:paraId="2C969E87" w14:textId="77777777" w:rsidR="00B14FAE" w:rsidRPr="00CF0DF4" w:rsidRDefault="00B14FAE" w:rsidP="007C6889">
            <w:pPr>
              <w:pStyle w:val="Body-Table"/>
              <w:jc w:val="center"/>
              <w:rPr>
                <w:rFonts w:cs="Times New Roman"/>
              </w:rPr>
            </w:pPr>
            <w:r w:rsidRPr="00CF0DF4">
              <w:rPr>
                <w:rFonts w:cs="Times New Roman"/>
              </w:rPr>
              <w:t>40</w:t>
            </w:r>
          </w:p>
        </w:tc>
        <w:tc>
          <w:tcPr>
            <w:tcW w:w="1135" w:type="dxa"/>
            <w:tcBorders>
              <w:top w:val="nil"/>
              <w:left w:val="nil"/>
              <w:bottom w:val="nil"/>
              <w:right w:val="dotted" w:sz="4" w:space="0" w:color="auto"/>
            </w:tcBorders>
            <w:shd w:val="clear" w:color="auto" w:fill="FFFFFF" w:themeFill="background1"/>
            <w:vAlign w:val="center"/>
            <w:hideMark/>
          </w:tcPr>
          <w:p w14:paraId="294C5EEF"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71E2D202" w14:textId="77777777" w:rsidR="00B14FAE" w:rsidRPr="00CF0DF4" w:rsidRDefault="00B14FAE" w:rsidP="007C6889">
            <w:pPr>
              <w:pStyle w:val="Body-Table"/>
              <w:jc w:val="center"/>
              <w:rPr>
                <w:rFonts w:cs="Times New Roman"/>
              </w:rPr>
            </w:pPr>
            <w:r w:rsidRPr="00CF0DF4">
              <w:rPr>
                <w:rFonts w:cs="Times New Roman"/>
              </w:rPr>
              <w:t>800-1000</w:t>
            </w:r>
          </w:p>
        </w:tc>
        <w:tc>
          <w:tcPr>
            <w:tcW w:w="1475" w:type="dxa"/>
            <w:tcBorders>
              <w:top w:val="nil"/>
              <w:left w:val="nil"/>
              <w:bottom w:val="nil"/>
              <w:right w:val="nil"/>
            </w:tcBorders>
            <w:shd w:val="clear" w:color="auto" w:fill="FFFFFF" w:themeFill="background1"/>
            <w:vAlign w:val="center"/>
            <w:hideMark/>
          </w:tcPr>
          <w:p w14:paraId="259F991B" w14:textId="77777777" w:rsidR="00B14FAE" w:rsidRPr="00CF0DF4" w:rsidRDefault="00B14FAE" w:rsidP="007C6889">
            <w:pPr>
              <w:pStyle w:val="Body-Table"/>
              <w:jc w:val="center"/>
              <w:rPr>
                <w:rFonts w:cs="Times New Roman"/>
              </w:rPr>
            </w:pPr>
            <w:r w:rsidRPr="00CF0DF4">
              <w:rPr>
                <w:rFonts w:cs="Times New Roman"/>
              </w:rPr>
              <w:t>900</w:t>
            </w:r>
          </w:p>
        </w:tc>
        <w:tc>
          <w:tcPr>
            <w:tcW w:w="1135" w:type="dxa"/>
            <w:tcBorders>
              <w:top w:val="nil"/>
              <w:left w:val="nil"/>
              <w:bottom w:val="nil"/>
              <w:right w:val="single" w:sz="8" w:space="0" w:color="auto"/>
            </w:tcBorders>
            <w:shd w:val="clear" w:color="auto" w:fill="FFFFFF" w:themeFill="background1"/>
            <w:vAlign w:val="center"/>
            <w:hideMark/>
          </w:tcPr>
          <w:p w14:paraId="76C15661"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0785B478"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E043448" w14:textId="77777777" w:rsidR="00B14FAE" w:rsidRPr="00CF0DF4" w:rsidRDefault="00B14FAE" w:rsidP="007C6889">
            <w:pPr>
              <w:pStyle w:val="Body-Table"/>
              <w:jc w:val="center"/>
              <w:rPr>
                <w:rFonts w:cs="Times New Roman"/>
              </w:rPr>
            </w:pPr>
            <w:r w:rsidRPr="00CF0DF4">
              <w:rPr>
                <w:rFonts w:cs="Times New Roman"/>
              </w:rPr>
              <w:t>5</w:t>
            </w:r>
          </w:p>
        </w:tc>
        <w:tc>
          <w:tcPr>
            <w:tcW w:w="1716" w:type="dxa"/>
            <w:tcBorders>
              <w:top w:val="nil"/>
              <w:left w:val="dotted" w:sz="4" w:space="0" w:color="auto"/>
              <w:bottom w:val="nil"/>
              <w:right w:val="nil"/>
            </w:tcBorders>
            <w:shd w:val="clear" w:color="auto" w:fill="FFFFFF" w:themeFill="background1"/>
            <w:vAlign w:val="center"/>
            <w:hideMark/>
          </w:tcPr>
          <w:p w14:paraId="72566E84" w14:textId="77777777" w:rsidR="00B14FAE" w:rsidRPr="00CF0DF4" w:rsidRDefault="00B14FAE" w:rsidP="007C6889">
            <w:pPr>
              <w:pStyle w:val="Body-Table"/>
              <w:jc w:val="center"/>
              <w:rPr>
                <w:rFonts w:cs="Times New Roman"/>
              </w:rPr>
            </w:pPr>
            <w:r w:rsidRPr="00CF0DF4">
              <w:rPr>
                <w:rFonts w:cs="Times New Roman"/>
              </w:rPr>
              <w:t>45-55</w:t>
            </w:r>
          </w:p>
        </w:tc>
        <w:tc>
          <w:tcPr>
            <w:tcW w:w="1475" w:type="dxa"/>
            <w:tcBorders>
              <w:top w:val="nil"/>
              <w:left w:val="nil"/>
              <w:bottom w:val="nil"/>
              <w:right w:val="nil"/>
            </w:tcBorders>
            <w:shd w:val="clear" w:color="auto" w:fill="FFFFFF" w:themeFill="background1"/>
            <w:vAlign w:val="center"/>
            <w:hideMark/>
          </w:tcPr>
          <w:p w14:paraId="78DABF47" w14:textId="77777777" w:rsidR="00B14FAE" w:rsidRPr="00CF0DF4" w:rsidRDefault="00B14FAE" w:rsidP="007C6889">
            <w:pPr>
              <w:pStyle w:val="Body-Table"/>
              <w:jc w:val="center"/>
              <w:rPr>
                <w:rFonts w:cs="Times New Roman"/>
              </w:rPr>
            </w:pPr>
            <w:r w:rsidRPr="00CF0DF4">
              <w:rPr>
                <w:rFonts w:cs="Times New Roman"/>
              </w:rPr>
              <w:t>50</w:t>
            </w:r>
          </w:p>
        </w:tc>
        <w:tc>
          <w:tcPr>
            <w:tcW w:w="1135" w:type="dxa"/>
            <w:tcBorders>
              <w:top w:val="nil"/>
              <w:left w:val="nil"/>
              <w:bottom w:val="nil"/>
              <w:right w:val="dotted" w:sz="4" w:space="0" w:color="auto"/>
            </w:tcBorders>
            <w:shd w:val="clear" w:color="auto" w:fill="FFFFFF" w:themeFill="background1"/>
            <w:vAlign w:val="center"/>
            <w:hideMark/>
          </w:tcPr>
          <w:p w14:paraId="7AE8F46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55F55675" w14:textId="77777777" w:rsidR="00B14FAE" w:rsidRPr="00CF0DF4" w:rsidRDefault="00B14FAE" w:rsidP="007C6889">
            <w:pPr>
              <w:pStyle w:val="Body-Table"/>
              <w:jc w:val="center"/>
              <w:rPr>
                <w:rFonts w:cs="Times New Roman"/>
              </w:rPr>
            </w:pPr>
            <w:r w:rsidRPr="00CF0DF4">
              <w:rPr>
                <w:rFonts w:cs="Times New Roman"/>
              </w:rPr>
              <w:t>1000-1200</w:t>
            </w:r>
          </w:p>
        </w:tc>
        <w:tc>
          <w:tcPr>
            <w:tcW w:w="1475" w:type="dxa"/>
            <w:tcBorders>
              <w:top w:val="nil"/>
              <w:left w:val="nil"/>
              <w:bottom w:val="nil"/>
              <w:right w:val="nil"/>
            </w:tcBorders>
            <w:shd w:val="clear" w:color="auto" w:fill="FFFFFF" w:themeFill="background1"/>
            <w:vAlign w:val="center"/>
            <w:hideMark/>
          </w:tcPr>
          <w:p w14:paraId="40029926" w14:textId="77777777" w:rsidR="00B14FAE" w:rsidRPr="00CF0DF4" w:rsidRDefault="00B14FAE" w:rsidP="007C6889">
            <w:pPr>
              <w:pStyle w:val="Body-Table"/>
              <w:jc w:val="center"/>
              <w:rPr>
                <w:rFonts w:cs="Times New Roman"/>
              </w:rPr>
            </w:pPr>
            <w:r w:rsidRPr="00CF0DF4">
              <w:rPr>
                <w:rFonts w:cs="Times New Roman"/>
              </w:rPr>
              <w:t>1100</w:t>
            </w:r>
          </w:p>
        </w:tc>
        <w:tc>
          <w:tcPr>
            <w:tcW w:w="1135" w:type="dxa"/>
            <w:tcBorders>
              <w:top w:val="nil"/>
              <w:left w:val="nil"/>
              <w:bottom w:val="nil"/>
              <w:right w:val="single" w:sz="8" w:space="0" w:color="auto"/>
            </w:tcBorders>
            <w:shd w:val="clear" w:color="auto" w:fill="FFFFFF" w:themeFill="background1"/>
            <w:vAlign w:val="center"/>
            <w:hideMark/>
          </w:tcPr>
          <w:p w14:paraId="3EBA2E0E"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122AE515"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F6909DB" w14:textId="77777777" w:rsidR="00B14FAE" w:rsidRPr="00CF0DF4" w:rsidRDefault="00B14FAE" w:rsidP="007C6889">
            <w:pPr>
              <w:pStyle w:val="Body-Table"/>
              <w:jc w:val="center"/>
              <w:rPr>
                <w:rFonts w:cs="Times New Roman"/>
              </w:rPr>
            </w:pPr>
            <w:r w:rsidRPr="00CF0DF4">
              <w:rPr>
                <w:rFonts w:cs="Times New Roman"/>
              </w:rPr>
              <w:t>6</w:t>
            </w:r>
          </w:p>
        </w:tc>
        <w:tc>
          <w:tcPr>
            <w:tcW w:w="1716" w:type="dxa"/>
            <w:tcBorders>
              <w:top w:val="nil"/>
              <w:left w:val="dotted" w:sz="4" w:space="0" w:color="auto"/>
              <w:bottom w:val="nil"/>
              <w:right w:val="nil"/>
            </w:tcBorders>
            <w:shd w:val="clear" w:color="auto" w:fill="FFFFFF" w:themeFill="background1"/>
            <w:vAlign w:val="center"/>
            <w:hideMark/>
          </w:tcPr>
          <w:p w14:paraId="6BABDB1E" w14:textId="77777777" w:rsidR="00B14FAE" w:rsidRPr="00CF0DF4" w:rsidRDefault="00B14FAE" w:rsidP="007C6889">
            <w:pPr>
              <w:pStyle w:val="Body-Table"/>
              <w:jc w:val="center"/>
              <w:rPr>
                <w:rFonts w:cs="Times New Roman"/>
              </w:rPr>
            </w:pPr>
            <w:r w:rsidRPr="00CF0DF4">
              <w:rPr>
                <w:rFonts w:cs="Times New Roman"/>
              </w:rPr>
              <w:t>55-65</w:t>
            </w:r>
          </w:p>
        </w:tc>
        <w:tc>
          <w:tcPr>
            <w:tcW w:w="1475" w:type="dxa"/>
            <w:tcBorders>
              <w:top w:val="nil"/>
              <w:left w:val="nil"/>
              <w:bottom w:val="nil"/>
              <w:right w:val="nil"/>
            </w:tcBorders>
            <w:shd w:val="clear" w:color="auto" w:fill="FFFFFF" w:themeFill="background1"/>
            <w:vAlign w:val="center"/>
            <w:hideMark/>
          </w:tcPr>
          <w:p w14:paraId="3B01EF75" w14:textId="77777777" w:rsidR="00B14FAE" w:rsidRPr="00CF0DF4" w:rsidRDefault="00B14FAE" w:rsidP="007C6889">
            <w:pPr>
              <w:pStyle w:val="Body-Table"/>
              <w:jc w:val="center"/>
              <w:rPr>
                <w:rFonts w:cs="Times New Roman"/>
              </w:rPr>
            </w:pPr>
            <w:r w:rsidRPr="00CF0DF4">
              <w:rPr>
                <w:rFonts w:cs="Times New Roman"/>
              </w:rPr>
              <w:t>60</w:t>
            </w:r>
          </w:p>
        </w:tc>
        <w:tc>
          <w:tcPr>
            <w:tcW w:w="1135" w:type="dxa"/>
            <w:tcBorders>
              <w:top w:val="nil"/>
              <w:left w:val="nil"/>
              <w:bottom w:val="nil"/>
              <w:right w:val="dotted" w:sz="4" w:space="0" w:color="auto"/>
            </w:tcBorders>
            <w:shd w:val="clear" w:color="auto" w:fill="FFFFFF" w:themeFill="background1"/>
            <w:vAlign w:val="center"/>
            <w:hideMark/>
          </w:tcPr>
          <w:p w14:paraId="544C222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07C763C0" w14:textId="77777777" w:rsidR="00B14FAE" w:rsidRPr="00CF0DF4" w:rsidRDefault="00B14FAE" w:rsidP="007C6889">
            <w:pPr>
              <w:pStyle w:val="Body-Table"/>
              <w:jc w:val="center"/>
              <w:rPr>
                <w:rFonts w:cs="Times New Roman"/>
              </w:rPr>
            </w:pPr>
            <w:r w:rsidRPr="00CF0DF4">
              <w:rPr>
                <w:rFonts w:cs="Times New Roman"/>
              </w:rPr>
              <w:t>1200-1400</w:t>
            </w:r>
          </w:p>
        </w:tc>
        <w:tc>
          <w:tcPr>
            <w:tcW w:w="1475" w:type="dxa"/>
            <w:tcBorders>
              <w:top w:val="nil"/>
              <w:left w:val="nil"/>
              <w:bottom w:val="nil"/>
              <w:right w:val="nil"/>
            </w:tcBorders>
            <w:shd w:val="clear" w:color="auto" w:fill="FFFFFF" w:themeFill="background1"/>
            <w:vAlign w:val="center"/>
            <w:hideMark/>
          </w:tcPr>
          <w:p w14:paraId="074A82F6" w14:textId="77777777" w:rsidR="00B14FAE" w:rsidRPr="00CF0DF4" w:rsidRDefault="00B14FAE" w:rsidP="007C6889">
            <w:pPr>
              <w:pStyle w:val="Body-Table"/>
              <w:jc w:val="center"/>
              <w:rPr>
                <w:rFonts w:cs="Times New Roman"/>
              </w:rPr>
            </w:pPr>
            <w:r w:rsidRPr="00CF0DF4">
              <w:rPr>
                <w:rFonts w:cs="Times New Roman"/>
              </w:rPr>
              <w:t>1300</w:t>
            </w:r>
          </w:p>
        </w:tc>
        <w:tc>
          <w:tcPr>
            <w:tcW w:w="1135" w:type="dxa"/>
            <w:tcBorders>
              <w:top w:val="nil"/>
              <w:left w:val="nil"/>
              <w:bottom w:val="nil"/>
              <w:right w:val="single" w:sz="8" w:space="0" w:color="auto"/>
            </w:tcBorders>
            <w:shd w:val="clear" w:color="auto" w:fill="FFFFFF" w:themeFill="background1"/>
            <w:vAlign w:val="center"/>
            <w:hideMark/>
          </w:tcPr>
          <w:p w14:paraId="508ED269"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66939C5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2A30F6D" w14:textId="77777777" w:rsidR="00B14FAE" w:rsidRPr="00CF0DF4" w:rsidRDefault="00B14FAE" w:rsidP="007C6889">
            <w:pPr>
              <w:pStyle w:val="Body-Table"/>
              <w:jc w:val="center"/>
              <w:rPr>
                <w:rFonts w:cs="Times New Roman"/>
              </w:rPr>
            </w:pPr>
            <w:r w:rsidRPr="00CF0DF4">
              <w:rPr>
                <w:rFonts w:cs="Times New Roman"/>
              </w:rPr>
              <w:t>7</w:t>
            </w:r>
          </w:p>
        </w:tc>
        <w:tc>
          <w:tcPr>
            <w:tcW w:w="1716" w:type="dxa"/>
            <w:tcBorders>
              <w:top w:val="nil"/>
              <w:left w:val="dotted" w:sz="4" w:space="0" w:color="auto"/>
              <w:bottom w:val="nil"/>
              <w:right w:val="nil"/>
            </w:tcBorders>
            <w:shd w:val="clear" w:color="auto" w:fill="FFFFFF" w:themeFill="background1"/>
            <w:vAlign w:val="center"/>
            <w:hideMark/>
          </w:tcPr>
          <w:p w14:paraId="1493964D" w14:textId="77777777" w:rsidR="00B14FAE" w:rsidRPr="00CF0DF4" w:rsidRDefault="00B14FAE" w:rsidP="007C6889">
            <w:pPr>
              <w:pStyle w:val="Body-Table"/>
              <w:jc w:val="center"/>
              <w:rPr>
                <w:rFonts w:cs="Times New Roman"/>
              </w:rPr>
            </w:pPr>
            <w:r w:rsidRPr="00CF0DF4">
              <w:rPr>
                <w:rFonts w:cs="Times New Roman"/>
              </w:rPr>
              <w:t>65-75</w:t>
            </w:r>
          </w:p>
        </w:tc>
        <w:tc>
          <w:tcPr>
            <w:tcW w:w="1475" w:type="dxa"/>
            <w:tcBorders>
              <w:top w:val="nil"/>
              <w:left w:val="nil"/>
              <w:bottom w:val="nil"/>
              <w:right w:val="nil"/>
            </w:tcBorders>
            <w:shd w:val="clear" w:color="auto" w:fill="FFFFFF" w:themeFill="background1"/>
            <w:vAlign w:val="center"/>
            <w:hideMark/>
          </w:tcPr>
          <w:p w14:paraId="7CF9C94F" w14:textId="77777777" w:rsidR="00B14FAE" w:rsidRPr="00CF0DF4" w:rsidRDefault="00B14FAE" w:rsidP="007C6889">
            <w:pPr>
              <w:pStyle w:val="Body-Table"/>
              <w:jc w:val="center"/>
              <w:rPr>
                <w:rFonts w:cs="Times New Roman"/>
              </w:rPr>
            </w:pPr>
            <w:r w:rsidRPr="00CF0DF4">
              <w:rPr>
                <w:rFonts w:cs="Times New Roman"/>
              </w:rPr>
              <w:t>70</w:t>
            </w:r>
          </w:p>
        </w:tc>
        <w:tc>
          <w:tcPr>
            <w:tcW w:w="1135" w:type="dxa"/>
            <w:tcBorders>
              <w:top w:val="nil"/>
              <w:left w:val="nil"/>
              <w:bottom w:val="nil"/>
              <w:right w:val="dotted" w:sz="4" w:space="0" w:color="auto"/>
            </w:tcBorders>
            <w:shd w:val="clear" w:color="auto" w:fill="FFFFFF" w:themeFill="background1"/>
            <w:vAlign w:val="center"/>
            <w:hideMark/>
          </w:tcPr>
          <w:p w14:paraId="15ACC487"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1FFC2704" w14:textId="77777777" w:rsidR="00B14FAE" w:rsidRPr="00CF0DF4" w:rsidRDefault="00B14FAE" w:rsidP="007C6889">
            <w:pPr>
              <w:pStyle w:val="Body-Table"/>
              <w:jc w:val="center"/>
              <w:rPr>
                <w:rFonts w:cs="Times New Roman"/>
              </w:rPr>
            </w:pPr>
            <w:r w:rsidRPr="00CF0DF4">
              <w:rPr>
                <w:rFonts w:cs="Times New Roman"/>
              </w:rPr>
              <w:t>1400-1600</w:t>
            </w:r>
          </w:p>
        </w:tc>
        <w:tc>
          <w:tcPr>
            <w:tcW w:w="1475" w:type="dxa"/>
            <w:tcBorders>
              <w:top w:val="nil"/>
              <w:left w:val="nil"/>
              <w:bottom w:val="nil"/>
              <w:right w:val="nil"/>
            </w:tcBorders>
            <w:shd w:val="clear" w:color="auto" w:fill="FFFFFF" w:themeFill="background1"/>
            <w:vAlign w:val="center"/>
            <w:hideMark/>
          </w:tcPr>
          <w:p w14:paraId="2771923B" w14:textId="77777777" w:rsidR="00B14FAE" w:rsidRPr="00CF0DF4" w:rsidRDefault="00B14FAE" w:rsidP="007C6889">
            <w:pPr>
              <w:pStyle w:val="Body-Table"/>
              <w:jc w:val="center"/>
              <w:rPr>
                <w:rFonts w:cs="Times New Roman"/>
              </w:rPr>
            </w:pPr>
            <w:r w:rsidRPr="00CF0DF4">
              <w:rPr>
                <w:rFonts w:cs="Times New Roman"/>
              </w:rPr>
              <w:t>1500</w:t>
            </w:r>
          </w:p>
        </w:tc>
        <w:tc>
          <w:tcPr>
            <w:tcW w:w="1135" w:type="dxa"/>
            <w:tcBorders>
              <w:top w:val="nil"/>
              <w:left w:val="nil"/>
              <w:bottom w:val="nil"/>
              <w:right w:val="single" w:sz="8" w:space="0" w:color="auto"/>
            </w:tcBorders>
            <w:shd w:val="clear" w:color="auto" w:fill="FFFFFF" w:themeFill="background1"/>
            <w:vAlign w:val="center"/>
            <w:hideMark/>
          </w:tcPr>
          <w:p w14:paraId="4B03A9BD"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4401D880"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47E27A6B" w14:textId="77777777" w:rsidR="00B14FAE" w:rsidRPr="00CF0DF4" w:rsidRDefault="00B14FAE" w:rsidP="007C6889">
            <w:pPr>
              <w:pStyle w:val="Body-Table"/>
              <w:jc w:val="center"/>
              <w:rPr>
                <w:rFonts w:cs="Times New Roman"/>
              </w:rPr>
            </w:pPr>
            <w:r w:rsidRPr="00CF0DF4">
              <w:rPr>
                <w:rFonts w:cs="Times New Roman"/>
              </w:rPr>
              <w:t>8</w:t>
            </w:r>
          </w:p>
        </w:tc>
        <w:tc>
          <w:tcPr>
            <w:tcW w:w="1716" w:type="dxa"/>
            <w:tcBorders>
              <w:top w:val="nil"/>
              <w:left w:val="dotted" w:sz="4" w:space="0" w:color="auto"/>
              <w:bottom w:val="nil"/>
              <w:right w:val="nil"/>
            </w:tcBorders>
            <w:shd w:val="clear" w:color="auto" w:fill="FFFFFF" w:themeFill="background1"/>
            <w:vAlign w:val="center"/>
            <w:hideMark/>
          </w:tcPr>
          <w:p w14:paraId="567F4485" w14:textId="77777777" w:rsidR="00B14FAE" w:rsidRPr="00CF0DF4" w:rsidRDefault="00B14FAE" w:rsidP="007C6889">
            <w:pPr>
              <w:pStyle w:val="Body-Table"/>
              <w:jc w:val="center"/>
              <w:rPr>
                <w:rFonts w:cs="Times New Roman"/>
              </w:rPr>
            </w:pPr>
            <w:r w:rsidRPr="00CF0DF4">
              <w:rPr>
                <w:rFonts w:cs="Times New Roman"/>
              </w:rPr>
              <w:t>75-85</w:t>
            </w:r>
          </w:p>
        </w:tc>
        <w:tc>
          <w:tcPr>
            <w:tcW w:w="1475" w:type="dxa"/>
            <w:tcBorders>
              <w:top w:val="nil"/>
              <w:left w:val="nil"/>
              <w:bottom w:val="nil"/>
              <w:right w:val="nil"/>
            </w:tcBorders>
            <w:shd w:val="clear" w:color="auto" w:fill="FFFFFF" w:themeFill="background1"/>
            <w:vAlign w:val="center"/>
            <w:hideMark/>
          </w:tcPr>
          <w:p w14:paraId="6B748080" w14:textId="77777777" w:rsidR="00B14FAE" w:rsidRPr="00CF0DF4" w:rsidRDefault="00B14FAE" w:rsidP="007C6889">
            <w:pPr>
              <w:pStyle w:val="Body-Table"/>
              <w:jc w:val="center"/>
              <w:rPr>
                <w:rFonts w:cs="Times New Roman"/>
              </w:rPr>
            </w:pPr>
            <w:r w:rsidRPr="00CF0DF4">
              <w:rPr>
                <w:rFonts w:cs="Times New Roman"/>
              </w:rPr>
              <w:t>80</w:t>
            </w:r>
          </w:p>
        </w:tc>
        <w:tc>
          <w:tcPr>
            <w:tcW w:w="1135" w:type="dxa"/>
            <w:tcBorders>
              <w:top w:val="nil"/>
              <w:left w:val="nil"/>
              <w:bottom w:val="nil"/>
              <w:right w:val="dotted" w:sz="4" w:space="0" w:color="auto"/>
            </w:tcBorders>
            <w:shd w:val="clear" w:color="auto" w:fill="FFFFFF" w:themeFill="background1"/>
            <w:vAlign w:val="center"/>
            <w:hideMark/>
          </w:tcPr>
          <w:p w14:paraId="6F7294B3"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19BF8DF1" w14:textId="77777777" w:rsidR="00B14FAE" w:rsidRPr="00CF0DF4" w:rsidRDefault="00B14FAE" w:rsidP="007C6889">
            <w:pPr>
              <w:pStyle w:val="Body-Table"/>
              <w:jc w:val="center"/>
              <w:rPr>
                <w:rFonts w:cs="Times New Roman"/>
              </w:rPr>
            </w:pPr>
            <w:r w:rsidRPr="00CF0DF4">
              <w:rPr>
                <w:rFonts w:cs="Times New Roman"/>
              </w:rPr>
              <w:t>1600-1800</w:t>
            </w:r>
          </w:p>
        </w:tc>
        <w:tc>
          <w:tcPr>
            <w:tcW w:w="1475" w:type="dxa"/>
            <w:tcBorders>
              <w:top w:val="nil"/>
              <w:left w:val="nil"/>
              <w:bottom w:val="nil"/>
              <w:right w:val="nil"/>
            </w:tcBorders>
            <w:shd w:val="clear" w:color="auto" w:fill="FFFFFF" w:themeFill="background1"/>
            <w:vAlign w:val="center"/>
            <w:hideMark/>
          </w:tcPr>
          <w:p w14:paraId="64B51437" w14:textId="77777777" w:rsidR="00B14FAE" w:rsidRPr="00CF0DF4" w:rsidRDefault="00B14FAE" w:rsidP="007C6889">
            <w:pPr>
              <w:pStyle w:val="Body-Table"/>
              <w:jc w:val="center"/>
              <w:rPr>
                <w:rFonts w:cs="Times New Roman"/>
              </w:rPr>
            </w:pPr>
            <w:r w:rsidRPr="00CF0DF4">
              <w:rPr>
                <w:rFonts w:cs="Times New Roman"/>
              </w:rPr>
              <w:t>1700</w:t>
            </w:r>
          </w:p>
        </w:tc>
        <w:tc>
          <w:tcPr>
            <w:tcW w:w="1135" w:type="dxa"/>
            <w:tcBorders>
              <w:top w:val="nil"/>
              <w:left w:val="nil"/>
              <w:bottom w:val="nil"/>
              <w:right w:val="single" w:sz="8" w:space="0" w:color="auto"/>
            </w:tcBorders>
            <w:shd w:val="clear" w:color="auto" w:fill="FFFFFF" w:themeFill="background1"/>
            <w:vAlign w:val="center"/>
            <w:hideMark/>
          </w:tcPr>
          <w:p w14:paraId="11D56EA1"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4BDB356A" w14:textId="77777777" w:rsidTr="6A504B5C">
        <w:trPr>
          <w:cantSplit/>
          <w:trHeight w:val="300"/>
        </w:trPr>
        <w:tc>
          <w:tcPr>
            <w:tcW w:w="708" w:type="dxa"/>
            <w:tcBorders>
              <w:top w:val="nil"/>
              <w:left w:val="single" w:sz="8" w:space="0" w:color="auto"/>
              <w:bottom w:val="nil"/>
              <w:right w:val="nil"/>
            </w:tcBorders>
            <w:shd w:val="clear" w:color="auto" w:fill="FFFFFF" w:themeFill="background1"/>
            <w:vAlign w:val="center"/>
            <w:hideMark/>
          </w:tcPr>
          <w:p w14:paraId="15DB8151" w14:textId="77777777" w:rsidR="00B14FAE" w:rsidRPr="00CF0DF4" w:rsidRDefault="00B14FAE" w:rsidP="007C6889">
            <w:pPr>
              <w:pStyle w:val="Body-Table"/>
              <w:jc w:val="center"/>
              <w:rPr>
                <w:rFonts w:cs="Times New Roman"/>
              </w:rPr>
            </w:pPr>
            <w:r w:rsidRPr="00CF0DF4">
              <w:rPr>
                <w:rFonts w:cs="Times New Roman"/>
              </w:rPr>
              <w:t>9</w:t>
            </w:r>
          </w:p>
        </w:tc>
        <w:tc>
          <w:tcPr>
            <w:tcW w:w="1716" w:type="dxa"/>
            <w:tcBorders>
              <w:top w:val="nil"/>
              <w:left w:val="dotted" w:sz="4" w:space="0" w:color="auto"/>
              <w:bottom w:val="nil"/>
              <w:right w:val="nil"/>
            </w:tcBorders>
            <w:shd w:val="clear" w:color="auto" w:fill="FFFFFF" w:themeFill="background1"/>
            <w:vAlign w:val="center"/>
            <w:hideMark/>
          </w:tcPr>
          <w:p w14:paraId="20FCB999" w14:textId="77777777" w:rsidR="00B14FAE" w:rsidRPr="00CF0DF4" w:rsidRDefault="00B14FAE" w:rsidP="007C6889">
            <w:pPr>
              <w:pStyle w:val="Body-Table"/>
              <w:jc w:val="center"/>
              <w:rPr>
                <w:rFonts w:cs="Times New Roman"/>
              </w:rPr>
            </w:pPr>
            <w:r w:rsidRPr="00CF0DF4">
              <w:rPr>
                <w:rFonts w:cs="Times New Roman"/>
              </w:rPr>
              <w:t>85-95</w:t>
            </w:r>
          </w:p>
        </w:tc>
        <w:tc>
          <w:tcPr>
            <w:tcW w:w="1475" w:type="dxa"/>
            <w:tcBorders>
              <w:top w:val="nil"/>
              <w:left w:val="nil"/>
              <w:bottom w:val="nil"/>
              <w:right w:val="nil"/>
            </w:tcBorders>
            <w:shd w:val="clear" w:color="auto" w:fill="FFFFFF" w:themeFill="background1"/>
            <w:vAlign w:val="center"/>
            <w:hideMark/>
          </w:tcPr>
          <w:p w14:paraId="1A68ECC3" w14:textId="77777777" w:rsidR="00B14FAE" w:rsidRPr="00CF0DF4" w:rsidRDefault="00B14FAE" w:rsidP="007C6889">
            <w:pPr>
              <w:pStyle w:val="Body-Table"/>
              <w:jc w:val="center"/>
              <w:rPr>
                <w:rFonts w:cs="Times New Roman"/>
              </w:rPr>
            </w:pPr>
            <w:r w:rsidRPr="00CF0DF4">
              <w:rPr>
                <w:rFonts w:cs="Times New Roman"/>
              </w:rPr>
              <w:t>90</w:t>
            </w:r>
          </w:p>
        </w:tc>
        <w:tc>
          <w:tcPr>
            <w:tcW w:w="1135" w:type="dxa"/>
            <w:tcBorders>
              <w:top w:val="nil"/>
              <w:left w:val="nil"/>
              <w:bottom w:val="nil"/>
              <w:right w:val="dotted" w:sz="4" w:space="0" w:color="auto"/>
            </w:tcBorders>
            <w:shd w:val="clear" w:color="auto" w:fill="FFFFFF" w:themeFill="background1"/>
            <w:vAlign w:val="center"/>
            <w:hideMark/>
          </w:tcPr>
          <w:p w14:paraId="464FC7EF"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7DB60685" w14:textId="77777777" w:rsidR="00B14FAE" w:rsidRPr="00CF0DF4" w:rsidRDefault="00B14FAE" w:rsidP="007C6889">
            <w:pPr>
              <w:pStyle w:val="Body-Table"/>
              <w:jc w:val="center"/>
              <w:rPr>
                <w:rFonts w:cs="Times New Roman"/>
              </w:rPr>
            </w:pPr>
            <w:r w:rsidRPr="00CF0DF4">
              <w:rPr>
                <w:rFonts w:cs="Times New Roman"/>
              </w:rPr>
              <w:t>1800-2200</w:t>
            </w:r>
          </w:p>
        </w:tc>
        <w:tc>
          <w:tcPr>
            <w:tcW w:w="1475" w:type="dxa"/>
            <w:tcBorders>
              <w:top w:val="nil"/>
              <w:left w:val="nil"/>
              <w:bottom w:val="nil"/>
              <w:right w:val="nil"/>
            </w:tcBorders>
            <w:shd w:val="clear" w:color="auto" w:fill="FFFFFF" w:themeFill="background1"/>
            <w:vAlign w:val="center"/>
            <w:hideMark/>
          </w:tcPr>
          <w:p w14:paraId="4B250F55" w14:textId="77777777" w:rsidR="00B14FAE" w:rsidRPr="00CF0DF4" w:rsidRDefault="00B14FAE" w:rsidP="007C6889">
            <w:pPr>
              <w:pStyle w:val="Body-Table"/>
              <w:jc w:val="center"/>
              <w:rPr>
                <w:rFonts w:cs="Times New Roman"/>
              </w:rPr>
            </w:pPr>
            <w:r w:rsidRPr="00CF0DF4">
              <w:rPr>
                <w:rFonts w:cs="Times New Roman"/>
              </w:rPr>
              <w:t>2000</w:t>
            </w:r>
          </w:p>
        </w:tc>
        <w:tc>
          <w:tcPr>
            <w:tcW w:w="1135" w:type="dxa"/>
            <w:tcBorders>
              <w:top w:val="nil"/>
              <w:left w:val="nil"/>
              <w:bottom w:val="nil"/>
              <w:right w:val="single" w:sz="8" w:space="0" w:color="auto"/>
            </w:tcBorders>
            <w:shd w:val="clear" w:color="auto" w:fill="FFFFFF" w:themeFill="background1"/>
            <w:vAlign w:val="center"/>
            <w:hideMark/>
          </w:tcPr>
          <w:p w14:paraId="67CA02D3"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1B74D7C9"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339CF867"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dotted" w:sz="4" w:space="0" w:color="auto"/>
              <w:bottom w:val="nil"/>
              <w:right w:val="nil"/>
            </w:tcBorders>
            <w:shd w:val="clear" w:color="auto" w:fill="FFFFFF" w:themeFill="background1"/>
            <w:vAlign w:val="center"/>
            <w:hideMark/>
          </w:tcPr>
          <w:p w14:paraId="27F2598B" w14:textId="77777777" w:rsidR="00B14FAE" w:rsidRPr="00CF0DF4" w:rsidRDefault="00B14FAE" w:rsidP="007C6889">
            <w:pPr>
              <w:pStyle w:val="Body-Table"/>
              <w:jc w:val="center"/>
              <w:rPr>
                <w:rFonts w:cs="Times New Roman"/>
              </w:rPr>
            </w:pPr>
            <w:r w:rsidRPr="00CF0DF4">
              <w:rPr>
                <w:rFonts w:cs="Times New Roman"/>
              </w:rPr>
              <w:t>95-105</w:t>
            </w:r>
          </w:p>
        </w:tc>
        <w:tc>
          <w:tcPr>
            <w:tcW w:w="1475" w:type="dxa"/>
            <w:tcBorders>
              <w:top w:val="nil"/>
              <w:left w:val="nil"/>
              <w:bottom w:val="nil"/>
              <w:right w:val="nil"/>
            </w:tcBorders>
            <w:shd w:val="clear" w:color="auto" w:fill="FFFFFF" w:themeFill="background1"/>
            <w:vAlign w:val="center"/>
            <w:hideMark/>
          </w:tcPr>
          <w:p w14:paraId="1761DFF9" w14:textId="77777777" w:rsidR="00B14FAE" w:rsidRPr="00CF0DF4" w:rsidRDefault="00B14FAE" w:rsidP="007C6889">
            <w:pPr>
              <w:pStyle w:val="Body-Table"/>
              <w:jc w:val="center"/>
              <w:rPr>
                <w:rFonts w:cs="Times New Roman"/>
              </w:rPr>
            </w:pPr>
            <w:r w:rsidRPr="00CF0DF4">
              <w:rPr>
                <w:rFonts w:cs="Times New Roman"/>
              </w:rPr>
              <w:t>100</w:t>
            </w:r>
          </w:p>
        </w:tc>
        <w:tc>
          <w:tcPr>
            <w:tcW w:w="1135" w:type="dxa"/>
            <w:tcBorders>
              <w:top w:val="nil"/>
              <w:left w:val="nil"/>
              <w:bottom w:val="nil"/>
              <w:right w:val="dotted" w:sz="4" w:space="0" w:color="auto"/>
            </w:tcBorders>
            <w:shd w:val="clear" w:color="auto" w:fill="FFFFFF" w:themeFill="background1"/>
            <w:vAlign w:val="center"/>
            <w:hideMark/>
          </w:tcPr>
          <w:p w14:paraId="20DA08F5"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67966D01" w14:textId="77777777" w:rsidR="00B14FAE" w:rsidRPr="00CF0DF4" w:rsidRDefault="00B14FAE" w:rsidP="007C6889">
            <w:pPr>
              <w:pStyle w:val="Body-Table"/>
              <w:jc w:val="center"/>
              <w:rPr>
                <w:rFonts w:cs="Times New Roman"/>
              </w:rPr>
            </w:pPr>
            <w:r w:rsidRPr="00CF0DF4">
              <w:rPr>
                <w:rFonts w:cs="Times New Roman"/>
              </w:rPr>
              <w:t>2200-2600</w:t>
            </w:r>
          </w:p>
        </w:tc>
        <w:tc>
          <w:tcPr>
            <w:tcW w:w="1475" w:type="dxa"/>
            <w:tcBorders>
              <w:top w:val="nil"/>
              <w:left w:val="nil"/>
              <w:bottom w:val="nil"/>
              <w:right w:val="nil"/>
            </w:tcBorders>
            <w:shd w:val="clear" w:color="auto" w:fill="FFFFFF" w:themeFill="background1"/>
            <w:vAlign w:val="center"/>
            <w:hideMark/>
          </w:tcPr>
          <w:p w14:paraId="10E09C94" w14:textId="77777777" w:rsidR="00B14FAE" w:rsidRPr="00CF0DF4" w:rsidRDefault="00B14FAE" w:rsidP="007C6889">
            <w:pPr>
              <w:pStyle w:val="Body-Table"/>
              <w:jc w:val="center"/>
              <w:rPr>
                <w:rFonts w:cs="Times New Roman"/>
              </w:rPr>
            </w:pPr>
            <w:r w:rsidRPr="00CF0DF4">
              <w:rPr>
                <w:rFonts w:cs="Times New Roman"/>
              </w:rPr>
              <w:t>2400</w:t>
            </w:r>
          </w:p>
        </w:tc>
        <w:tc>
          <w:tcPr>
            <w:tcW w:w="1135" w:type="dxa"/>
            <w:tcBorders>
              <w:top w:val="nil"/>
              <w:left w:val="nil"/>
              <w:bottom w:val="nil"/>
              <w:right w:val="single" w:sz="8" w:space="0" w:color="auto"/>
            </w:tcBorders>
            <w:shd w:val="clear" w:color="auto" w:fill="FFFFFF" w:themeFill="background1"/>
            <w:vAlign w:val="center"/>
            <w:hideMark/>
          </w:tcPr>
          <w:p w14:paraId="13E38BBF"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75F42CBC"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C86F2BD" w14:textId="77777777" w:rsidR="00B14FAE" w:rsidRPr="00CF0DF4" w:rsidRDefault="00B14FAE" w:rsidP="007C6889">
            <w:pPr>
              <w:pStyle w:val="Body-Table"/>
              <w:jc w:val="center"/>
              <w:rPr>
                <w:rFonts w:cs="Times New Roman"/>
              </w:rPr>
            </w:pPr>
            <w:r w:rsidRPr="00CF0DF4">
              <w:rPr>
                <w:rFonts w:cs="Times New Roman"/>
              </w:rPr>
              <w:t>11</w:t>
            </w:r>
          </w:p>
        </w:tc>
        <w:tc>
          <w:tcPr>
            <w:tcW w:w="1716" w:type="dxa"/>
            <w:tcBorders>
              <w:top w:val="nil"/>
              <w:left w:val="dotted" w:sz="4" w:space="0" w:color="auto"/>
              <w:bottom w:val="nil"/>
              <w:right w:val="nil"/>
            </w:tcBorders>
            <w:shd w:val="clear" w:color="auto" w:fill="FFFFFF" w:themeFill="background1"/>
            <w:vAlign w:val="center"/>
            <w:hideMark/>
          </w:tcPr>
          <w:p w14:paraId="101B29C2" w14:textId="77777777" w:rsidR="00B14FAE" w:rsidRPr="00CF0DF4" w:rsidRDefault="00B14FAE" w:rsidP="007C6889">
            <w:pPr>
              <w:pStyle w:val="Body-Table"/>
              <w:jc w:val="center"/>
              <w:rPr>
                <w:rFonts w:cs="Times New Roman"/>
              </w:rPr>
            </w:pPr>
            <w:r w:rsidRPr="00CF0DF4">
              <w:rPr>
                <w:rFonts w:cs="Times New Roman"/>
              </w:rPr>
              <w:t>105-125</w:t>
            </w:r>
          </w:p>
        </w:tc>
        <w:tc>
          <w:tcPr>
            <w:tcW w:w="1475" w:type="dxa"/>
            <w:tcBorders>
              <w:top w:val="nil"/>
              <w:left w:val="nil"/>
              <w:bottom w:val="nil"/>
              <w:right w:val="nil"/>
            </w:tcBorders>
            <w:shd w:val="clear" w:color="auto" w:fill="FFFFFF" w:themeFill="background1"/>
            <w:vAlign w:val="center"/>
            <w:hideMark/>
          </w:tcPr>
          <w:p w14:paraId="7D1DBCEF" w14:textId="77777777" w:rsidR="00B14FAE" w:rsidRPr="00CF0DF4" w:rsidRDefault="00B14FAE" w:rsidP="007C6889">
            <w:pPr>
              <w:pStyle w:val="Body-Table"/>
              <w:jc w:val="center"/>
              <w:rPr>
                <w:rFonts w:cs="Times New Roman"/>
              </w:rPr>
            </w:pPr>
            <w:r w:rsidRPr="00CF0DF4">
              <w:rPr>
                <w:rFonts w:cs="Times New Roman"/>
              </w:rPr>
              <w:t>115</w:t>
            </w:r>
          </w:p>
        </w:tc>
        <w:tc>
          <w:tcPr>
            <w:tcW w:w="1135" w:type="dxa"/>
            <w:tcBorders>
              <w:top w:val="nil"/>
              <w:left w:val="nil"/>
              <w:bottom w:val="nil"/>
              <w:right w:val="dotted" w:sz="4" w:space="0" w:color="auto"/>
            </w:tcBorders>
            <w:shd w:val="clear" w:color="auto" w:fill="FFFFFF" w:themeFill="background1"/>
            <w:vAlign w:val="center"/>
            <w:hideMark/>
          </w:tcPr>
          <w:p w14:paraId="78E60545" w14:textId="77777777" w:rsidR="00B14FAE" w:rsidRPr="00CF0DF4" w:rsidRDefault="00B14FAE" w:rsidP="007C6889">
            <w:pPr>
              <w:pStyle w:val="Body-Table"/>
              <w:jc w:val="center"/>
              <w:rPr>
                <w:rFonts w:cs="Times New Roman"/>
              </w:rPr>
            </w:pPr>
            <w:r w:rsidRPr="00CF0DF4">
              <w:rPr>
                <w:rFonts w:cs="Times New Roman"/>
              </w:rPr>
              <w:t>20</w:t>
            </w:r>
          </w:p>
        </w:tc>
        <w:tc>
          <w:tcPr>
            <w:tcW w:w="1716" w:type="dxa"/>
            <w:tcBorders>
              <w:top w:val="nil"/>
              <w:left w:val="nil"/>
              <w:bottom w:val="nil"/>
              <w:right w:val="nil"/>
            </w:tcBorders>
            <w:shd w:val="clear" w:color="auto" w:fill="FFFFFF" w:themeFill="background1"/>
            <w:vAlign w:val="center"/>
            <w:hideMark/>
          </w:tcPr>
          <w:p w14:paraId="2B65305D" w14:textId="77777777" w:rsidR="00B14FAE" w:rsidRPr="00CF0DF4" w:rsidRDefault="00B14FAE" w:rsidP="007C6889">
            <w:pPr>
              <w:pStyle w:val="Body-Table"/>
              <w:jc w:val="center"/>
              <w:rPr>
                <w:rFonts w:cs="Times New Roman"/>
              </w:rPr>
            </w:pPr>
            <w:r w:rsidRPr="00CF0DF4">
              <w:rPr>
                <w:rFonts w:cs="Times New Roman"/>
              </w:rPr>
              <w:t>2600-3000</w:t>
            </w:r>
          </w:p>
        </w:tc>
        <w:tc>
          <w:tcPr>
            <w:tcW w:w="1475" w:type="dxa"/>
            <w:tcBorders>
              <w:top w:val="nil"/>
              <w:left w:val="nil"/>
              <w:bottom w:val="nil"/>
              <w:right w:val="nil"/>
            </w:tcBorders>
            <w:shd w:val="clear" w:color="auto" w:fill="FFFFFF" w:themeFill="background1"/>
            <w:vAlign w:val="center"/>
            <w:hideMark/>
          </w:tcPr>
          <w:p w14:paraId="63FD22D8" w14:textId="77777777" w:rsidR="00B14FAE" w:rsidRPr="00CF0DF4" w:rsidRDefault="00B14FAE" w:rsidP="007C6889">
            <w:pPr>
              <w:pStyle w:val="Body-Table"/>
              <w:jc w:val="center"/>
              <w:rPr>
                <w:rFonts w:cs="Times New Roman"/>
              </w:rPr>
            </w:pPr>
            <w:r w:rsidRPr="00CF0DF4">
              <w:rPr>
                <w:rFonts w:cs="Times New Roman"/>
              </w:rPr>
              <w:t>2800</w:t>
            </w:r>
          </w:p>
        </w:tc>
        <w:tc>
          <w:tcPr>
            <w:tcW w:w="1135" w:type="dxa"/>
            <w:tcBorders>
              <w:top w:val="nil"/>
              <w:left w:val="nil"/>
              <w:bottom w:val="nil"/>
              <w:right w:val="single" w:sz="8" w:space="0" w:color="auto"/>
            </w:tcBorders>
            <w:shd w:val="clear" w:color="auto" w:fill="FFFFFF" w:themeFill="background1"/>
            <w:vAlign w:val="center"/>
            <w:hideMark/>
          </w:tcPr>
          <w:p w14:paraId="012EA81E"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51B79353"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33651E16" w14:textId="77777777" w:rsidR="00B14FAE" w:rsidRPr="00CF0DF4" w:rsidRDefault="00B14FAE" w:rsidP="007C6889">
            <w:pPr>
              <w:pStyle w:val="Body-Table"/>
              <w:jc w:val="center"/>
              <w:rPr>
                <w:rFonts w:cs="Times New Roman"/>
              </w:rPr>
            </w:pPr>
            <w:r w:rsidRPr="00CF0DF4">
              <w:rPr>
                <w:rFonts w:cs="Times New Roman"/>
              </w:rPr>
              <w:t>12</w:t>
            </w:r>
          </w:p>
        </w:tc>
        <w:tc>
          <w:tcPr>
            <w:tcW w:w="1716" w:type="dxa"/>
            <w:tcBorders>
              <w:top w:val="nil"/>
              <w:left w:val="dotted" w:sz="4" w:space="0" w:color="auto"/>
              <w:bottom w:val="nil"/>
              <w:right w:val="nil"/>
            </w:tcBorders>
            <w:shd w:val="clear" w:color="auto" w:fill="FFFFFF" w:themeFill="background1"/>
            <w:vAlign w:val="center"/>
            <w:hideMark/>
          </w:tcPr>
          <w:p w14:paraId="494005B0" w14:textId="77777777" w:rsidR="00B14FAE" w:rsidRPr="00CF0DF4" w:rsidRDefault="00B14FAE" w:rsidP="007C6889">
            <w:pPr>
              <w:pStyle w:val="Body-Table"/>
              <w:jc w:val="center"/>
              <w:rPr>
                <w:rFonts w:cs="Times New Roman"/>
              </w:rPr>
            </w:pPr>
            <w:r w:rsidRPr="00CF0DF4">
              <w:rPr>
                <w:rFonts w:cs="Times New Roman"/>
              </w:rPr>
              <w:t>125-145</w:t>
            </w:r>
          </w:p>
        </w:tc>
        <w:tc>
          <w:tcPr>
            <w:tcW w:w="1475" w:type="dxa"/>
            <w:tcBorders>
              <w:top w:val="nil"/>
              <w:left w:val="nil"/>
              <w:bottom w:val="nil"/>
              <w:right w:val="nil"/>
            </w:tcBorders>
            <w:shd w:val="clear" w:color="auto" w:fill="FFFFFF" w:themeFill="background1"/>
            <w:vAlign w:val="center"/>
            <w:hideMark/>
          </w:tcPr>
          <w:p w14:paraId="382706A8" w14:textId="77777777" w:rsidR="00B14FAE" w:rsidRPr="00CF0DF4" w:rsidRDefault="00B14FAE" w:rsidP="007C6889">
            <w:pPr>
              <w:pStyle w:val="Body-Table"/>
              <w:jc w:val="center"/>
              <w:rPr>
                <w:rFonts w:cs="Times New Roman"/>
              </w:rPr>
            </w:pPr>
            <w:r w:rsidRPr="00CF0DF4">
              <w:rPr>
                <w:rFonts w:cs="Times New Roman"/>
              </w:rPr>
              <w:t>135</w:t>
            </w:r>
          </w:p>
        </w:tc>
        <w:tc>
          <w:tcPr>
            <w:tcW w:w="1135" w:type="dxa"/>
            <w:tcBorders>
              <w:top w:val="nil"/>
              <w:left w:val="nil"/>
              <w:bottom w:val="nil"/>
              <w:right w:val="dotted" w:sz="4" w:space="0" w:color="auto"/>
            </w:tcBorders>
            <w:shd w:val="clear" w:color="auto" w:fill="FFFFFF" w:themeFill="background1"/>
            <w:vAlign w:val="center"/>
            <w:hideMark/>
          </w:tcPr>
          <w:p w14:paraId="4C372D14" w14:textId="77777777" w:rsidR="00B14FAE" w:rsidRPr="00CF0DF4" w:rsidRDefault="00B14FAE" w:rsidP="007C6889">
            <w:pPr>
              <w:pStyle w:val="Body-Table"/>
              <w:jc w:val="center"/>
              <w:rPr>
                <w:rFonts w:cs="Times New Roman"/>
              </w:rPr>
            </w:pPr>
            <w:r w:rsidRPr="00CF0DF4">
              <w:rPr>
                <w:rFonts w:cs="Times New Roman"/>
              </w:rPr>
              <w:t>20</w:t>
            </w:r>
          </w:p>
        </w:tc>
        <w:tc>
          <w:tcPr>
            <w:tcW w:w="1716" w:type="dxa"/>
            <w:tcBorders>
              <w:top w:val="nil"/>
              <w:left w:val="nil"/>
              <w:bottom w:val="nil"/>
              <w:right w:val="nil"/>
            </w:tcBorders>
            <w:shd w:val="clear" w:color="auto" w:fill="FFFFFF" w:themeFill="background1"/>
            <w:vAlign w:val="center"/>
            <w:hideMark/>
          </w:tcPr>
          <w:p w14:paraId="7BC92E21" w14:textId="77777777" w:rsidR="00B14FAE" w:rsidRPr="00CF0DF4" w:rsidRDefault="00B14FAE" w:rsidP="007C6889">
            <w:pPr>
              <w:pStyle w:val="Body-Table"/>
              <w:jc w:val="center"/>
              <w:rPr>
                <w:rFonts w:cs="Times New Roman"/>
              </w:rPr>
            </w:pPr>
            <w:r w:rsidRPr="00CF0DF4">
              <w:rPr>
                <w:rFonts w:cs="Times New Roman"/>
              </w:rPr>
              <w:t>3000-3400</w:t>
            </w:r>
          </w:p>
        </w:tc>
        <w:tc>
          <w:tcPr>
            <w:tcW w:w="1475" w:type="dxa"/>
            <w:tcBorders>
              <w:top w:val="nil"/>
              <w:left w:val="nil"/>
              <w:bottom w:val="nil"/>
              <w:right w:val="nil"/>
            </w:tcBorders>
            <w:shd w:val="clear" w:color="auto" w:fill="FFFFFF" w:themeFill="background1"/>
            <w:vAlign w:val="center"/>
            <w:hideMark/>
          </w:tcPr>
          <w:p w14:paraId="6FFBAE55" w14:textId="77777777" w:rsidR="00B14FAE" w:rsidRPr="00CF0DF4" w:rsidRDefault="00B14FAE" w:rsidP="007C6889">
            <w:pPr>
              <w:pStyle w:val="Body-Table"/>
              <w:jc w:val="center"/>
              <w:rPr>
                <w:rFonts w:cs="Times New Roman"/>
              </w:rPr>
            </w:pPr>
            <w:r w:rsidRPr="00CF0DF4">
              <w:rPr>
                <w:rFonts w:cs="Times New Roman"/>
              </w:rPr>
              <w:t>3200</w:t>
            </w:r>
          </w:p>
        </w:tc>
        <w:tc>
          <w:tcPr>
            <w:tcW w:w="1135" w:type="dxa"/>
            <w:tcBorders>
              <w:top w:val="nil"/>
              <w:left w:val="nil"/>
              <w:bottom w:val="nil"/>
              <w:right w:val="single" w:sz="8" w:space="0" w:color="auto"/>
            </w:tcBorders>
            <w:shd w:val="clear" w:color="auto" w:fill="FFFFFF" w:themeFill="background1"/>
            <w:vAlign w:val="center"/>
            <w:hideMark/>
          </w:tcPr>
          <w:p w14:paraId="255BE6F2"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5A47DE95" w14:textId="77777777" w:rsidTr="6A504B5C">
        <w:trPr>
          <w:cantSplit/>
          <w:trHeight w:val="300"/>
        </w:trPr>
        <w:tc>
          <w:tcPr>
            <w:tcW w:w="708" w:type="dxa"/>
            <w:tcBorders>
              <w:top w:val="nil"/>
              <w:left w:val="single" w:sz="8" w:space="0" w:color="auto"/>
              <w:bottom w:val="nil"/>
              <w:right w:val="nil"/>
            </w:tcBorders>
            <w:shd w:val="clear" w:color="auto" w:fill="FFFFFF" w:themeFill="background1"/>
            <w:vAlign w:val="center"/>
            <w:hideMark/>
          </w:tcPr>
          <w:p w14:paraId="0A9BC6F3" w14:textId="77777777" w:rsidR="00B14FAE" w:rsidRPr="00CF0DF4" w:rsidRDefault="00B14FAE" w:rsidP="007C6889">
            <w:pPr>
              <w:pStyle w:val="Body-Table"/>
              <w:jc w:val="center"/>
              <w:rPr>
                <w:rFonts w:cs="Times New Roman"/>
              </w:rPr>
            </w:pPr>
            <w:r w:rsidRPr="00CF0DF4">
              <w:rPr>
                <w:rFonts w:cs="Times New Roman"/>
              </w:rPr>
              <w:t>13</w:t>
            </w:r>
          </w:p>
        </w:tc>
        <w:tc>
          <w:tcPr>
            <w:tcW w:w="1716" w:type="dxa"/>
            <w:tcBorders>
              <w:top w:val="nil"/>
              <w:left w:val="dotted" w:sz="4" w:space="0" w:color="auto"/>
              <w:bottom w:val="nil"/>
              <w:right w:val="nil"/>
            </w:tcBorders>
            <w:shd w:val="clear" w:color="auto" w:fill="FFFFFF" w:themeFill="background1"/>
            <w:vAlign w:val="center"/>
            <w:hideMark/>
          </w:tcPr>
          <w:p w14:paraId="152C0C0E" w14:textId="77777777" w:rsidR="00B14FAE" w:rsidRPr="00CF0DF4" w:rsidRDefault="00B14FAE" w:rsidP="007C6889">
            <w:pPr>
              <w:pStyle w:val="Body-Table"/>
              <w:jc w:val="center"/>
              <w:rPr>
                <w:rFonts w:cs="Times New Roman"/>
              </w:rPr>
            </w:pPr>
            <w:r w:rsidRPr="00CF0DF4">
              <w:rPr>
                <w:rFonts w:cs="Times New Roman"/>
              </w:rPr>
              <w:t>145-175</w:t>
            </w:r>
          </w:p>
        </w:tc>
        <w:tc>
          <w:tcPr>
            <w:tcW w:w="1475" w:type="dxa"/>
            <w:tcBorders>
              <w:top w:val="nil"/>
              <w:left w:val="nil"/>
              <w:bottom w:val="nil"/>
              <w:right w:val="nil"/>
            </w:tcBorders>
            <w:shd w:val="clear" w:color="auto" w:fill="FFFFFF" w:themeFill="background1"/>
            <w:vAlign w:val="center"/>
            <w:hideMark/>
          </w:tcPr>
          <w:p w14:paraId="55D73C44" w14:textId="77777777" w:rsidR="00B14FAE" w:rsidRPr="00CF0DF4" w:rsidRDefault="00B14FAE" w:rsidP="007C6889">
            <w:pPr>
              <w:pStyle w:val="Body-Table"/>
              <w:jc w:val="center"/>
              <w:rPr>
                <w:rFonts w:cs="Times New Roman"/>
              </w:rPr>
            </w:pPr>
            <w:r w:rsidRPr="00CF0DF4">
              <w:rPr>
                <w:rFonts w:cs="Times New Roman"/>
              </w:rPr>
              <w:t>160</w:t>
            </w:r>
          </w:p>
        </w:tc>
        <w:tc>
          <w:tcPr>
            <w:tcW w:w="1135" w:type="dxa"/>
            <w:tcBorders>
              <w:top w:val="nil"/>
              <w:left w:val="nil"/>
              <w:bottom w:val="nil"/>
              <w:right w:val="dotted" w:sz="4" w:space="0" w:color="auto"/>
            </w:tcBorders>
            <w:shd w:val="clear" w:color="auto" w:fill="FFFFFF" w:themeFill="background1"/>
            <w:vAlign w:val="center"/>
            <w:hideMark/>
          </w:tcPr>
          <w:p w14:paraId="3D2FEBF9" w14:textId="77777777" w:rsidR="00B14FAE" w:rsidRPr="00CF0DF4" w:rsidRDefault="00B14FAE" w:rsidP="007C6889">
            <w:pPr>
              <w:pStyle w:val="Body-Table"/>
              <w:jc w:val="center"/>
              <w:rPr>
                <w:rFonts w:cs="Times New Roman"/>
              </w:rPr>
            </w:pPr>
            <w:r w:rsidRPr="00CF0DF4">
              <w:rPr>
                <w:rFonts w:cs="Times New Roman"/>
              </w:rPr>
              <w:t>30</w:t>
            </w:r>
          </w:p>
        </w:tc>
        <w:tc>
          <w:tcPr>
            <w:tcW w:w="1716" w:type="dxa"/>
            <w:tcBorders>
              <w:top w:val="nil"/>
              <w:left w:val="nil"/>
              <w:bottom w:val="nil"/>
              <w:right w:val="nil"/>
            </w:tcBorders>
            <w:shd w:val="clear" w:color="auto" w:fill="FFFFFF" w:themeFill="background1"/>
            <w:vAlign w:val="center"/>
            <w:hideMark/>
          </w:tcPr>
          <w:p w14:paraId="727C7F2E" w14:textId="77777777" w:rsidR="00B14FAE" w:rsidRPr="00CF0DF4" w:rsidRDefault="00B14FAE" w:rsidP="007C6889">
            <w:pPr>
              <w:pStyle w:val="Body-Table"/>
              <w:jc w:val="center"/>
              <w:rPr>
                <w:rFonts w:cs="Times New Roman"/>
              </w:rPr>
            </w:pPr>
            <w:r w:rsidRPr="00CF0DF4">
              <w:rPr>
                <w:rFonts w:cs="Times New Roman"/>
              </w:rPr>
              <w:t>3400-3800</w:t>
            </w:r>
          </w:p>
        </w:tc>
        <w:tc>
          <w:tcPr>
            <w:tcW w:w="1475" w:type="dxa"/>
            <w:tcBorders>
              <w:top w:val="nil"/>
              <w:left w:val="nil"/>
              <w:bottom w:val="nil"/>
              <w:right w:val="nil"/>
            </w:tcBorders>
            <w:shd w:val="clear" w:color="auto" w:fill="FFFFFF" w:themeFill="background1"/>
            <w:vAlign w:val="center"/>
            <w:hideMark/>
          </w:tcPr>
          <w:p w14:paraId="2D27EBBE" w14:textId="77777777" w:rsidR="00B14FAE" w:rsidRPr="00CF0DF4" w:rsidRDefault="00B14FAE" w:rsidP="007C6889">
            <w:pPr>
              <w:pStyle w:val="Body-Table"/>
              <w:jc w:val="center"/>
              <w:rPr>
                <w:rFonts w:cs="Times New Roman"/>
              </w:rPr>
            </w:pPr>
            <w:r w:rsidRPr="00CF0DF4">
              <w:rPr>
                <w:rFonts w:cs="Times New Roman"/>
              </w:rPr>
              <w:t>3600</w:t>
            </w:r>
          </w:p>
        </w:tc>
        <w:tc>
          <w:tcPr>
            <w:tcW w:w="1135" w:type="dxa"/>
            <w:tcBorders>
              <w:top w:val="nil"/>
              <w:left w:val="nil"/>
              <w:bottom w:val="nil"/>
              <w:right w:val="single" w:sz="8" w:space="0" w:color="auto"/>
            </w:tcBorders>
            <w:shd w:val="clear" w:color="auto" w:fill="FFFFFF" w:themeFill="background1"/>
            <w:vAlign w:val="center"/>
            <w:hideMark/>
          </w:tcPr>
          <w:p w14:paraId="6F8B9E61"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011213D4"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232D0F9" w14:textId="77777777" w:rsidR="00B14FAE" w:rsidRPr="00CF0DF4" w:rsidRDefault="00B14FAE" w:rsidP="007C6889">
            <w:pPr>
              <w:pStyle w:val="Body-Table"/>
              <w:jc w:val="center"/>
              <w:rPr>
                <w:rFonts w:cs="Times New Roman"/>
              </w:rPr>
            </w:pPr>
            <w:r w:rsidRPr="00CF0DF4">
              <w:rPr>
                <w:rFonts w:cs="Times New Roman"/>
              </w:rPr>
              <w:t>14</w:t>
            </w:r>
          </w:p>
        </w:tc>
        <w:tc>
          <w:tcPr>
            <w:tcW w:w="1716" w:type="dxa"/>
            <w:tcBorders>
              <w:top w:val="nil"/>
              <w:left w:val="dotted" w:sz="4" w:space="0" w:color="auto"/>
              <w:bottom w:val="nil"/>
              <w:right w:val="nil"/>
            </w:tcBorders>
            <w:shd w:val="clear" w:color="auto" w:fill="FFFFFF" w:themeFill="background1"/>
            <w:vAlign w:val="center"/>
            <w:hideMark/>
          </w:tcPr>
          <w:p w14:paraId="4287A7F0" w14:textId="77777777" w:rsidR="00B14FAE" w:rsidRPr="00CF0DF4" w:rsidRDefault="00B14FAE" w:rsidP="007C6889">
            <w:pPr>
              <w:pStyle w:val="Body-Table"/>
              <w:jc w:val="center"/>
              <w:rPr>
                <w:rFonts w:cs="Times New Roman"/>
              </w:rPr>
            </w:pPr>
            <w:r w:rsidRPr="00CF0DF4">
              <w:rPr>
                <w:rFonts w:cs="Times New Roman"/>
              </w:rPr>
              <w:t>175-225</w:t>
            </w:r>
          </w:p>
        </w:tc>
        <w:tc>
          <w:tcPr>
            <w:tcW w:w="1475" w:type="dxa"/>
            <w:tcBorders>
              <w:top w:val="nil"/>
              <w:left w:val="nil"/>
              <w:bottom w:val="nil"/>
              <w:right w:val="nil"/>
            </w:tcBorders>
            <w:shd w:val="clear" w:color="auto" w:fill="FFFFFF" w:themeFill="background1"/>
            <w:vAlign w:val="center"/>
            <w:hideMark/>
          </w:tcPr>
          <w:p w14:paraId="694286F7" w14:textId="77777777" w:rsidR="00B14FAE" w:rsidRPr="00CF0DF4" w:rsidRDefault="00B14FAE" w:rsidP="007C6889">
            <w:pPr>
              <w:pStyle w:val="Body-Table"/>
              <w:jc w:val="center"/>
              <w:rPr>
                <w:rFonts w:cs="Times New Roman"/>
              </w:rPr>
            </w:pPr>
            <w:r w:rsidRPr="00CF0DF4">
              <w:rPr>
                <w:rFonts w:cs="Times New Roman"/>
              </w:rPr>
              <w:t>200</w:t>
            </w:r>
          </w:p>
        </w:tc>
        <w:tc>
          <w:tcPr>
            <w:tcW w:w="1135" w:type="dxa"/>
            <w:tcBorders>
              <w:top w:val="nil"/>
              <w:left w:val="nil"/>
              <w:bottom w:val="nil"/>
              <w:right w:val="dotted" w:sz="4" w:space="0" w:color="auto"/>
            </w:tcBorders>
            <w:shd w:val="clear" w:color="auto" w:fill="FFFFFF" w:themeFill="background1"/>
            <w:vAlign w:val="center"/>
            <w:hideMark/>
          </w:tcPr>
          <w:p w14:paraId="38409756" w14:textId="77777777" w:rsidR="00B14FAE" w:rsidRPr="00CF0DF4" w:rsidRDefault="00B14FAE" w:rsidP="007C6889">
            <w:pPr>
              <w:pStyle w:val="Body-Table"/>
              <w:jc w:val="center"/>
              <w:rPr>
                <w:rFonts w:cs="Times New Roman"/>
              </w:rPr>
            </w:pPr>
            <w:r w:rsidRPr="00CF0DF4">
              <w:rPr>
                <w:rFonts w:cs="Times New Roman"/>
              </w:rPr>
              <w:t>50</w:t>
            </w:r>
          </w:p>
        </w:tc>
        <w:tc>
          <w:tcPr>
            <w:tcW w:w="1716" w:type="dxa"/>
            <w:tcBorders>
              <w:top w:val="nil"/>
              <w:left w:val="nil"/>
              <w:bottom w:val="nil"/>
              <w:right w:val="nil"/>
            </w:tcBorders>
            <w:shd w:val="clear" w:color="auto" w:fill="FFFFFF" w:themeFill="background1"/>
            <w:vAlign w:val="center"/>
            <w:hideMark/>
          </w:tcPr>
          <w:p w14:paraId="20FA7D69" w14:textId="77777777" w:rsidR="00B14FAE" w:rsidRPr="00CF0DF4" w:rsidRDefault="00B14FAE" w:rsidP="007C6889">
            <w:pPr>
              <w:pStyle w:val="Body-Table"/>
              <w:jc w:val="center"/>
              <w:rPr>
                <w:rFonts w:cs="Times New Roman"/>
              </w:rPr>
            </w:pPr>
            <w:r w:rsidRPr="00CF0DF4">
              <w:rPr>
                <w:rFonts w:cs="Times New Roman"/>
              </w:rPr>
              <w:t>3800-4200</w:t>
            </w:r>
          </w:p>
        </w:tc>
        <w:tc>
          <w:tcPr>
            <w:tcW w:w="1475" w:type="dxa"/>
            <w:tcBorders>
              <w:top w:val="nil"/>
              <w:left w:val="nil"/>
              <w:bottom w:val="nil"/>
              <w:right w:val="nil"/>
            </w:tcBorders>
            <w:shd w:val="clear" w:color="auto" w:fill="FFFFFF" w:themeFill="background1"/>
            <w:vAlign w:val="center"/>
            <w:hideMark/>
          </w:tcPr>
          <w:p w14:paraId="44A9DD57" w14:textId="77777777" w:rsidR="00B14FAE" w:rsidRPr="00CF0DF4" w:rsidRDefault="00B14FAE" w:rsidP="007C6889">
            <w:pPr>
              <w:pStyle w:val="Body-Table"/>
              <w:jc w:val="center"/>
              <w:rPr>
                <w:rFonts w:cs="Times New Roman"/>
              </w:rPr>
            </w:pPr>
            <w:r w:rsidRPr="00CF0DF4">
              <w:rPr>
                <w:rFonts w:cs="Times New Roman"/>
              </w:rPr>
              <w:t>4000</w:t>
            </w:r>
          </w:p>
        </w:tc>
        <w:tc>
          <w:tcPr>
            <w:tcW w:w="1135" w:type="dxa"/>
            <w:tcBorders>
              <w:top w:val="nil"/>
              <w:left w:val="nil"/>
              <w:bottom w:val="nil"/>
              <w:right w:val="single" w:sz="8" w:space="0" w:color="auto"/>
            </w:tcBorders>
            <w:shd w:val="clear" w:color="auto" w:fill="FFFFFF" w:themeFill="background1"/>
            <w:vAlign w:val="center"/>
            <w:hideMark/>
          </w:tcPr>
          <w:p w14:paraId="439D3549"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1F3959A2"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D8F6B7B" w14:textId="77777777" w:rsidR="00B14FAE" w:rsidRPr="00CF0DF4" w:rsidRDefault="00B14FAE" w:rsidP="007C6889">
            <w:pPr>
              <w:pStyle w:val="Body-Table"/>
              <w:jc w:val="center"/>
              <w:rPr>
                <w:rFonts w:cs="Times New Roman"/>
              </w:rPr>
            </w:pPr>
            <w:r w:rsidRPr="00CF0DF4">
              <w:rPr>
                <w:rFonts w:cs="Times New Roman"/>
              </w:rPr>
              <w:t>15</w:t>
            </w:r>
          </w:p>
        </w:tc>
        <w:tc>
          <w:tcPr>
            <w:tcW w:w="1716" w:type="dxa"/>
            <w:tcBorders>
              <w:top w:val="nil"/>
              <w:left w:val="dotted" w:sz="4" w:space="0" w:color="auto"/>
              <w:bottom w:val="nil"/>
              <w:right w:val="nil"/>
            </w:tcBorders>
            <w:shd w:val="clear" w:color="auto" w:fill="FFFFFF" w:themeFill="background1"/>
            <w:vAlign w:val="center"/>
            <w:hideMark/>
          </w:tcPr>
          <w:p w14:paraId="721B21C0" w14:textId="77777777" w:rsidR="00B14FAE" w:rsidRPr="00CF0DF4" w:rsidRDefault="00B14FAE" w:rsidP="007C6889">
            <w:pPr>
              <w:pStyle w:val="Body-Table"/>
              <w:jc w:val="center"/>
              <w:rPr>
                <w:rFonts w:cs="Times New Roman"/>
              </w:rPr>
            </w:pPr>
            <w:r w:rsidRPr="00CF0DF4">
              <w:rPr>
                <w:rFonts w:cs="Times New Roman"/>
              </w:rPr>
              <w:t>225-275</w:t>
            </w:r>
          </w:p>
        </w:tc>
        <w:tc>
          <w:tcPr>
            <w:tcW w:w="1475" w:type="dxa"/>
            <w:tcBorders>
              <w:top w:val="nil"/>
              <w:left w:val="nil"/>
              <w:bottom w:val="nil"/>
              <w:right w:val="nil"/>
            </w:tcBorders>
            <w:shd w:val="clear" w:color="auto" w:fill="FFFFFF" w:themeFill="background1"/>
            <w:vAlign w:val="center"/>
            <w:hideMark/>
          </w:tcPr>
          <w:p w14:paraId="15EAC6D0" w14:textId="77777777" w:rsidR="00B14FAE" w:rsidRPr="00CF0DF4" w:rsidRDefault="00B14FAE" w:rsidP="007C6889">
            <w:pPr>
              <w:pStyle w:val="Body-Table"/>
              <w:jc w:val="center"/>
              <w:rPr>
                <w:rFonts w:cs="Times New Roman"/>
              </w:rPr>
            </w:pPr>
            <w:r w:rsidRPr="00CF0DF4">
              <w:rPr>
                <w:rFonts w:cs="Times New Roman"/>
              </w:rPr>
              <w:t>250</w:t>
            </w:r>
          </w:p>
        </w:tc>
        <w:tc>
          <w:tcPr>
            <w:tcW w:w="1135" w:type="dxa"/>
            <w:tcBorders>
              <w:top w:val="nil"/>
              <w:left w:val="nil"/>
              <w:bottom w:val="nil"/>
              <w:right w:val="dotted" w:sz="4" w:space="0" w:color="auto"/>
            </w:tcBorders>
            <w:shd w:val="clear" w:color="auto" w:fill="FFFFFF" w:themeFill="background1"/>
            <w:vAlign w:val="center"/>
            <w:hideMark/>
          </w:tcPr>
          <w:p w14:paraId="6AD9E5C3" w14:textId="77777777" w:rsidR="00B14FAE" w:rsidRPr="00CF0DF4" w:rsidRDefault="00B14FAE" w:rsidP="007C6889">
            <w:pPr>
              <w:pStyle w:val="Body-Table"/>
              <w:jc w:val="center"/>
              <w:rPr>
                <w:rFonts w:cs="Times New Roman"/>
              </w:rPr>
            </w:pPr>
            <w:r w:rsidRPr="00CF0DF4">
              <w:rPr>
                <w:rFonts w:cs="Times New Roman"/>
              </w:rPr>
              <w:t>50</w:t>
            </w:r>
          </w:p>
        </w:tc>
        <w:tc>
          <w:tcPr>
            <w:tcW w:w="1716" w:type="dxa"/>
            <w:tcBorders>
              <w:top w:val="nil"/>
              <w:left w:val="nil"/>
              <w:bottom w:val="nil"/>
              <w:right w:val="nil"/>
            </w:tcBorders>
            <w:shd w:val="clear" w:color="auto" w:fill="FFFFFF" w:themeFill="background1"/>
            <w:vAlign w:val="center"/>
            <w:hideMark/>
          </w:tcPr>
          <w:p w14:paraId="44505FA1" w14:textId="77777777" w:rsidR="00B14FAE" w:rsidRPr="00CF0DF4" w:rsidRDefault="00B14FAE" w:rsidP="007C6889">
            <w:pPr>
              <w:pStyle w:val="Body-Table"/>
              <w:jc w:val="center"/>
              <w:rPr>
                <w:rFonts w:cs="Times New Roman"/>
              </w:rPr>
            </w:pPr>
            <w:r w:rsidRPr="00CF0DF4">
              <w:rPr>
                <w:rFonts w:cs="Times New Roman"/>
              </w:rPr>
              <w:t>4200-4600</w:t>
            </w:r>
          </w:p>
        </w:tc>
        <w:tc>
          <w:tcPr>
            <w:tcW w:w="1475" w:type="dxa"/>
            <w:tcBorders>
              <w:top w:val="nil"/>
              <w:left w:val="nil"/>
              <w:bottom w:val="nil"/>
              <w:right w:val="nil"/>
            </w:tcBorders>
            <w:shd w:val="clear" w:color="auto" w:fill="FFFFFF" w:themeFill="background1"/>
            <w:vAlign w:val="center"/>
            <w:hideMark/>
          </w:tcPr>
          <w:p w14:paraId="5A716BA5" w14:textId="77777777" w:rsidR="00B14FAE" w:rsidRPr="00CF0DF4" w:rsidRDefault="00B14FAE" w:rsidP="007C6889">
            <w:pPr>
              <w:pStyle w:val="Body-Table"/>
              <w:jc w:val="center"/>
              <w:rPr>
                <w:rFonts w:cs="Times New Roman"/>
              </w:rPr>
            </w:pPr>
            <w:r w:rsidRPr="00CF0DF4">
              <w:rPr>
                <w:rFonts w:cs="Times New Roman"/>
              </w:rPr>
              <w:t>4400</w:t>
            </w:r>
          </w:p>
        </w:tc>
        <w:tc>
          <w:tcPr>
            <w:tcW w:w="1135" w:type="dxa"/>
            <w:tcBorders>
              <w:top w:val="nil"/>
              <w:left w:val="nil"/>
              <w:bottom w:val="nil"/>
              <w:right w:val="single" w:sz="8" w:space="0" w:color="auto"/>
            </w:tcBorders>
            <w:shd w:val="clear" w:color="auto" w:fill="FFFFFF" w:themeFill="background1"/>
            <w:vAlign w:val="center"/>
            <w:hideMark/>
          </w:tcPr>
          <w:p w14:paraId="4C3B6FB5"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4A16A3BF"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76305E63" w14:textId="77777777" w:rsidR="00B14FAE" w:rsidRPr="00CF0DF4" w:rsidRDefault="00B14FAE" w:rsidP="007C6889">
            <w:pPr>
              <w:pStyle w:val="Body-Table"/>
              <w:jc w:val="center"/>
              <w:rPr>
                <w:rFonts w:cs="Times New Roman"/>
              </w:rPr>
            </w:pPr>
            <w:r w:rsidRPr="00CF0DF4">
              <w:rPr>
                <w:rFonts w:cs="Times New Roman"/>
              </w:rPr>
              <w:t>16</w:t>
            </w:r>
          </w:p>
        </w:tc>
        <w:tc>
          <w:tcPr>
            <w:tcW w:w="1716" w:type="dxa"/>
            <w:tcBorders>
              <w:top w:val="nil"/>
              <w:left w:val="dotted" w:sz="4" w:space="0" w:color="auto"/>
              <w:bottom w:val="nil"/>
              <w:right w:val="nil"/>
            </w:tcBorders>
            <w:shd w:val="clear" w:color="auto" w:fill="FFFFFF" w:themeFill="background1"/>
            <w:vAlign w:val="center"/>
            <w:hideMark/>
          </w:tcPr>
          <w:p w14:paraId="38A1E132" w14:textId="77777777" w:rsidR="00B14FAE" w:rsidRPr="00CF0DF4" w:rsidRDefault="00B14FAE" w:rsidP="007C6889">
            <w:pPr>
              <w:pStyle w:val="Body-Table"/>
              <w:jc w:val="center"/>
              <w:rPr>
                <w:rFonts w:cs="Times New Roman"/>
              </w:rPr>
            </w:pPr>
            <w:r w:rsidRPr="00CF0DF4">
              <w:rPr>
                <w:rFonts w:cs="Times New Roman"/>
              </w:rPr>
              <w:t>275-325</w:t>
            </w:r>
          </w:p>
        </w:tc>
        <w:tc>
          <w:tcPr>
            <w:tcW w:w="1475" w:type="dxa"/>
            <w:tcBorders>
              <w:top w:val="nil"/>
              <w:left w:val="nil"/>
              <w:bottom w:val="nil"/>
              <w:right w:val="nil"/>
            </w:tcBorders>
            <w:shd w:val="clear" w:color="auto" w:fill="FFFFFF" w:themeFill="background1"/>
            <w:vAlign w:val="center"/>
            <w:hideMark/>
          </w:tcPr>
          <w:p w14:paraId="3548FDED" w14:textId="77777777" w:rsidR="00B14FAE" w:rsidRPr="00CF0DF4" w:rsidRDefault="00B14FAE" w:rsidP="007C6889">
            <w:pPr>
              <w:pStyle w:val="Body-Table"/>
              <w:jc w:val="center"/>
              <w:rPr>
                <w:rFonts w:cs="Times New Roman"/>
              </w:rPr>
            </w:pPr>
            <w:r w:rsidRPr="00CF0DF4">
              <w:rPr>
                <w:rFonts w:cs="Times New Roman"/>
              </w:rPr>
              <w:t>300</w:t>
            </w:r>
          </w:p>
        </w:tc>
        <w:tc>
          <w:tcPr>
            <w:tcW w:w="1135" w:type="dxa"/>
            <w:tcBorders>
              <w:top w:val="nil"/>
              <w:left w:val="nil"/>
              <w:bottom w:val="nil"/>
              <w:right w:val="dotted" w:sz="4" w:space="0" w:color="auto"/>
            </w:tcBorders>
            <w:shd w:val="clear" w:color="auto" w:fill="FFFFFF" w:themeFill="background1"/>
            <w:vAlign w:val="center"/>
            <w:hideMark/>
          </w:tcPr>
          <w:p w14:paraId="4C4240DE" w14:textId="77777777" w:rsidR="00B14FAE" w:rsidRPr="00CF0DF4" w:rsidRDefault="00B14FAE" w:rsidP="007C6889">
            <w:pPr>
              <w:pStyle w:val="Body-Table"/>
              <w:jc w:val="center"/>
              <w:rPr>
                <w:rFonts w:cs="Times New Roman"/>
              </w:rPr>
            </w:pPr>
            <w:r w:rsidRPr="00CF0DF4">
              <w:rPr>
                <w:rFonts w:cs="Times New Roman"/>
              </w:rPr>
              <w:t>50</w:t>
            </w:r>
          </w:p>
        </w:tc>
        <w:tc>
          <w:tcPr>
            <w:tcW w:w="1716" w:type="dxa"/>
            <w:tcBorders>
              <w:top w:val="nil"/>
              <w:left w:val="nil"/>
              <w:bottom w:val="nil"/>
              <w:right w:val="nil"/>
            </w:tcBorders>
            <w:shd w:val="clear" w:color="auto" w:fill="FFFFFF" w:themeFill="background1"/>
            <w:vAlign w:val="center"/>
            <w:hideMark/>
          </w:tcPr>
          <w:p w14:paraId="24BF6156" w14:textId="77777777" w:rsidR="00B14FAE" w:rsidRPr="00CF0DF4" w:rsidRDefault="00B14FAE" w:rsidP="007C6889">
            <w:pPr>
              <w:pStyle w:val="Body-Table"/>
              <w:jc w:val="center"/>
              <w:rPr>
                <w:rFonts w:cs="Times New Roman"/>
              </w:rPr>
            </w:pPr>
            <w:r w:rsidRPr="00CF0DF4">
              <w:rPr>
                <w:rFonts w:cs="Times New Roman"/>
              </w:rPr>
              <w:t>4600-5000</w:t>
            </w:r>
          </w:p>
        </w:tc>
        <w:tc>
          <w:tcPr>
            <w:tcW w:w="1475" w:type="dxa"/>
            <w:tcBorders>
              <w:top w:val="nil"/>
              <w:left w:val="nil"/>
              <w:bottom w:val="nil"/>
              <w:right w:val="nil"/>
            </w:tcBorders>
            <w:shd w:val="clear" w:color="auto" w:fill="FFFFFF" w:themeFill="background1"/>
            <w:vAlign w:val="center"/>
            <w:hideMark/>
          </w:tcPr>
          <w:p w14:paraId="5D05EE2B" w14:textId="77777777" w:rsidR="00B14FAE" w:rsidRPr="00CF0DF4" w:rsidRDefault="00B14FAE" w:rsidP="007C6889">
            <w:pPr>
              <w:pStyle w:val="Body-Table"/>
              <w:jc w:val="center"/>
              <w:rPr>
                <w:rFonts w:cs="Times New Roman"/>
              </w:rPr>
            </w:pPr>
            <w:r w:rsidRPr="00CF0DF4">
              <w:rPr>
                <w:rFonts w:cs="Times New Roman"/>
              </w:rPr>
              <w:t>4800</w:t>
            </w:r>
          </w:p>
        </w:tc>
        <w:tc>
          <w:tcPr>
            <w:tcW w:w="1135" w:type="dxa"/>
            <w:tcBorders>
              <w:top w:val="nil"/>
              <w:left w:val="nil"/>
              <w:bottom w:val="nil"/>
              <w:right w:val="single" w:sz="8" w:space="0" w:color="auto"/>
            </w:tcBorders>
            <w:shd w:val="clear" w:color="auto" w:fill="FFFFFF" w:themeFill="background1"/>
            <w:vAlign w:val="center"/>
            <w:hideMark/>
          </w:tcPr>
          <w:p w14:paraId="478EBDDD"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570C8479"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194B5C5" w14:textId="77777777" w:rsidR="00B14FAE" w:rsidRPr="00CF0DF4" w:rsidRDefault="00B14FAE" w:rsidP="007C6889">
            <w:pPr>
              <w:pStyle w:val="Body-Table"/>
              <w:jc w:val="center"/>
              <w:rPr>
                <w:rFonts w:cs="Times New Roman"/>
              </w:rPr>
            </w:pPr>
            <w:r w:rsidRPr="00CF0DF4">
              <w:rPr>
                <w:rFonts w:cs="Times New Roman"/>
              </w:rPr>
              <w:t>17</w:t>
            </w:r>
          </w:p>
        </w:tc>
        <w:tc>
          <w:tcPr>
            <w:tcW w:w="1716" w:type="dxa"/>
            <w:tcBorders>
              <w:top w:val="nil"/>
              <w:left w:val="dotted" w:sz="4" w:space="0" w:color="auto"/>
              <w:bottom w:val="nil"/>
              <w:right w:val="nil"/>
            </w:tcBorders>
            <w:shd w:val="clear" w:color="auto" w:fill="FFFFFF" w:themeFill="background1"/>
            <w:vAlign w:val="center"/>
            <w:hideMark/>
          </w:tcPr>
          <w:p w14:paraId="210E292D" w14:textId="77777777" w:rsidR="00B14FAE" w:rsidRPr="00CF0DF4" w:rsidRDefault="00B14FAE" w:rsidP="007C6889">
            <w:pPr>
              <w:pStyle w:val="Body-Table"/>
              <w:jc w:val="center"/>
              <w:rPr>
                <w:rFonts w:cs="Times New Roman"/>
              </w:rPr>
            </w:pPr>
            <w:r w:rsidRPr="00CF0DF4">
              <w:rPr>
                <w:rFonts w:cs="Times New Roman"/>
              </w:rPr>
              <w:t>325-400</w:t>
            </w:r>
          </w:p>
        </w:tc>
        <w:tc>
          <w:tcPr>
            <w:tcW w:w="1475" w:type="dxa"/>
            <w:tcBorders>
              <w:top w:val="nil"/>
              <w:left w:val="nil"/>
              <w:bottom w:val="nil"/>
              <w:right w:val="nil"/>
            </w:tcBorders>
            <w:shd w:val="clear" w:color="auto" w:fill="FFFFFF" w:themeFill="background1"/>
            <w:vAlign w:val="center"/>
            <w:hideMark/>
          </w:tcPr>
          <w:p w14:paraId="374E5853" w14:textId="77777777" w:rsidR="00B14FAE" w:rsidRPr="00CF0DF4" w:rsidRDefault="00B14FAE" w:rsidP="007C6889">
            <w:pPr>
              <w:pStyle w:val="Body-Table"/>
              <w:jc w:val="center"/>
              <w:rPr>
                <w:rFonts w:cs="Times New Roman"/>
              </w:rPr>
            </w:pPr>
            <w:r w:rsidRPr="00CF0DF4">
              <w:rPr>
                <w:rFonts w:cs="Times New Roman"/>
              </w:rPr>
              <w:t>362.5</w:t>
            </w:r>
          </w:p>
        </w:tc>
        <w:tc>
          <w:tcPr>
            <w:tcW w:w="1135" w:type="dxa"/>
            <w:tcBorders>
              <w:top w:val="nil"/>
              <w:left w:val="nil"/>
              <w:bottom w:val="nil"/>
              <w:right w:val="dotted" w:sz="4" w:space="0" w:color="auto"/>
            </w:tcBorders>
            <w:shd w:val="clear" w:color="auto" w:fill="FFFFFF" w:themeFill="background1"/>
            <w:vAlign w:val="center"/>
            <w:hideMark/>
          </w:tcPr>
          <w:p w14:paraId="539F2BBD"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1C5DC55C" w14:textId="77777777" w:rsidR="00B14FAE" w:rsidRPr="00CF0DF4" w:rsidRDefault="00B14FAE" w:rsidP="007C6889">
            <w:pPr>
              <w:pStyle w:val="Body-Table"/>
              <w:jc w:val="center"/>
              <w:rPr>
                <w:rFonts w:cs="Times New Roman"/>
              </w:rPr>
            </w:pPr>
            <w:r w:rsidRPr="00CF0DF4">
              <w:rPr>
                <w:rFonts w:cs="Times New Roman"/>
              </w:rPr>
              <w:t>5000-6000</w:t>
            </w:r>
          </w:p>
        </w:tc>
        <w:tc>
          <w:tcPr>
            <w:tcW w:w="1475" w:type="dxa"/>
            <w:tcBorders>
              <w:top w:val="nil"/>
              <w:left w:val="nil"/>
              <w:bottom w:val="nil"/>
              <w:right w:val="nil"/>
            </w:tcBorders>
            <w:shd w:val="clear" w:color="auto" w:fill="FFFFFF" w:themeFill="background1"/>
            <w:vAlign w:val="center"/>
            <w:hideMark/>
          </w:tcPr>
          <w:p w14:paraId="546909C7" w14:textId="77777777" w:rsidR="00B14FAE" w:rsidRPr="00CF0DF4" w:rsidRDefault="00B14FAE" w:rsidP="007C6889">
            <w:pPr>
              <w:pStyle w:val="Body-Table"/>
              <w:jc w:val="center"/>
              <w:rPr>
                <w:rFonts w:cs="Times New Roman"/>
              </w:rPr>
            </w:pPr>
            <w:r w:rsidRPr="00CF0DF4">
              <w:rPr>
                <w:rFonts w:cs="Times New Roman"/>
              </w:rPr>
              <w:t>5500</w:t>
            </w:r>
          </w:p>
        </w:tc>
        <w:tc>
          <w:tcPr>
            <w:tcW w:w="1135" w:type="dxa"/>
            <w:tcBorders>
              <w:top w:val="nil"/>
              <w:left w:val="nil"/>
              <w:bottom w:val="nil"/>
              <w:right w:val="single" w:sz="8" w:space="0" w:color="auto"/>
            </w:tcBorders>
            <w:shd w:val="clear" w:color="auto" w:fill="FFFFFF" w:themeFill="background1"/>
            <w:vAlign w:val="center"/>
            <w:hideMark/>
          </w:tcPr>
          <w:p w14:paraId="5CA8E957"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790BD13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642F5F1" w14:textId="77777777" w:rsidR="00B14FAE" w:rsidRPr="00CF0DF4" w:rsidRDefault="00B14FAE" w:rsidP="007C6889">
            <w:pPr>
              <w:pStyle w:val="Body-Table"/>
              <w:jc w:val="center"/>
              <w:rPr>
                <w:rFonts w:cs="Times New Roman"/>
              </w:rPr>
            </w:pPr>
            <w:r w:rsidRPr="00CF0DF4">
              <w:rPr>
                <w:rFonts w:cs="Times New Roman"/>
              </w:rPr>
              <w:t>18</w:t>
            </w:r>
          </w:p>
        </w:tc>
        <w:tc>
          <w:tcPr>
            <w:tcW w:w="1716" w:type="dxa"/>
            <w:tcBorders>
              <w:top w:val="nil"/>
              <w:left w:val="dotted" w:sz="4" w:space="0" w:color="auto"/>
              <w:bottom w:val="nil"/>
              <w:right w:val="nil"/>
            </w:tcBorders>
            <w:shd w:val="clear" w:color="auto" w:fill="FFFFFF" w:themeFill="background1"/>
            <w:vAlign w:val="center"/>
            <w:hideMark/>
          </w:tcPr>
          <w:p w14:paraId="21E1EC2E" w14:textId="77777777" w:rsidR="00B14FAE" w:rsidRPr="00CF0DF4" w:rsidRDefault="00B14FAE" w:rsidP="007C6889">
            <w:pPr>
              <w:pStyle w:val="Body-Table"/>
              <w:jc w:val="center"/>
              <w:rPr>
                <w:rFonts w:cs="Times New Roman"/>
              </w:rPr>
            </w:pPr>
            <w:r w:rsidRPr="00CF0DF4">
              <w:rPr>
                <w:rFonts w:cs="Times New Roman"/>
              </w:rPr>
              <w:t>400-475</w:t>
            </w:r>
          </w:p>
        </w:tc>
        <w:tc>
          <w:tcPr>
            <w:tcW w:w="1475" w:type="dxa"/>
            <w:tcBorders>
              <w:top w:val="nil"/>
              <w:left w:val="nil"/>
              <w:bottom w:val="nil"/>
              <w:right w:val="nil"/>
            </w:tcBorders>
            <w:shd w:val="clear" w:color="auto" w:fill="FFFFFF" w:themeFill="background1"/>
            <w:vAlign w:val="center"/>
            <w:hideMark/>
          </w:tcPr>
          <w:p w14:paraId="732E5B14" w14:textId="77777777" w:rsidR="00B14FAE" w:rsidRPr="00CF0DF4" w:rsidRDefault="00B14FAE" w:rsidP="007C6889">
            <w:pPr>
              <w:pStyle w:val="Body-Table"/>
              <w:jc w:val="center"/>
              <w:rPr>
                <w:rFonts w:cs="Times New Roman"/>
              </w:rPr>
            </w:pPr>
            <w:r w:rsidRPr="00CF0DF4">
              <w:rPr>
                <w:rFonts w:cs="Times New Roman"/>
              </w:rPr>
              <w:t>437.5</w:t>
            </w:r>
          </w:p>
        </w:tc>
        <w:tc>
          <w:tcPr>
            <w:tcW w:w="1135" w:type="dxa"/>
            <w:tcBorders>
              <w:top w:val="nil"/>
              <w:left w:val="nil"/>
              <w:bottom w:val="nil"/>
              <w:right w:val="dotted" w:sz="4" w:space="0" w:color="auto"/>
            </w:tcBorders>
            <w:shd w:val="clear" w:color="auto" w:fill="FFFFFF" w:themeFill="background1"/>
            <w:vAlign w:val="center"/>
            <w:hideMark/>
          </w:tcPr>
          <w:p w14:paraId="5468FB36"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5A7A24A7" w14:textId="77777777" w:rsidR="00B14FAE" w:rsidRPr="00CF0DF4" w:rsidRDefault="00B14FAE" w:rsidP="007C6889">
            <w:pPr>
              <w:pStyle w:val="Body-Table"/>
              <w:jc w:val="center"/>
              <w:rPr>
                <w:rFonts w:cs="Times New Roman"/>
              </w:rPr>
            </w:pPr>
            <w:r w:rsidRPr="00CF0DF4">
              <w:rPr>
                <w:rFonts w:cs="Times New Roman"/>
              </w:rPr>
              <w:t>6000-7000</w:t>
            </w:r>
          </w:p>
        </w:tc>
        <w:tc>
          <w:tcPr>
            <w:tcW w:w="1475" w:type="dxa"/>
            <w:tcBorders>
              <w:top w:val="nil"/>
              <w:left w:val="nil"/>
              <w:bottom w:val="nil"/>
              <w:right w:val="nil"/>
            </w:tcBorders>
            <w:shd w:val="clear" w:color="auto" w:fill="FFFFFF" w:themeFill="background1"/>
            <w:vAlign w:val="center"/>
            <w:hideMark/>
          </w:tcPr>
          <w:p w14:paraId="1ADCF2F0" w14:textId="77777777" w:rsidR="00B14FAE" w:rsidRPr="00CF0DF4" w:rsidRDefault="00B14FAE" w:rsidP="007C6889">
            <w:pPr>
              <w:pStyle w:val="Body-Table"/>
              <w:jc w:val="center"/>
              <w:rPr>
                <w:rFonts w:cs="Times New Roman"/>
              </w:rPr>
            </w:pPr>
            <w:r w:rsidRPr="00CF0DF4">
              <w:rPr>
                <w:rFonts w:cs="Times New Roman"/>
              </w:rPr>
              <w:t>6500</w:t>
            </w:r>
          </w:p>
        </w:tc>
        <w:tc>
          <w:tcPr>
            <w:tcW w:w="1135" w:type="dxa"/>
            <w:tcBorders>
              <w:top w:val="nil"/>
              <w:left w:val="nil"/>
              <w:bottom w:val="nil"/>
              <w:right w:val="single" w:sz="8" w:space="0" w:color="auto"/>
            </w:tcBorders>
            <w:shd w:val="clear" w:color="auto" w:fill="FFFFFF" w:themeFill="background1"/>
            <w:vAlign w:val="center"/>
            <w:hideMark/>
          </w:tcPr>
          <w:p w14:paraId="2960939E"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09AB1BE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5566FDE1" w14:textId="77777777" w:rsidR="00B14FAE" w:rsidRPr="00CF0DF4" w:rsidRDefault="00B14FAE" w:rsidP="007C6889">
            <w:pPr>
              <w:pStyle w:val="Body-Table"/>
              <w:jc w:val="center"/>
              <w:rPr>
                <w:rFonts w:cs="Times New Roman"/>
              </w:rPr>
            </w:pPr>
            <w:r w:rsidRPr="00CF0DF4">
              <w:rPr>
                <w:rFonts w:cs="Times New Roman"/>
              </w:rPr>
              <w:t>19</w:t>
            </w:r>
          </w:p>
        </w:tc>
        <w:tc>
          <w:tcPr>
            <w:tcW w:w="1716" w:type="dxa"/>
            <w:tcBorders>
              <w:top w:val="nil"/>
              <w:left w:val="dotted" w:sz="4" w:space="0" w:color="auto"/>
              <w:bottom w:val="nil"/>
              <w:right w:val="nil"/>
            </w:tcBorders>
            <w:shd w:val="clear" w:color="auto" w:fill="FFFFFF" w:themeFill="background1"/>
            <w:vAlign w:val="center"/>
            <w:hideMark/>
          </w:tcPr>
          <w:p w14:paraId="6B269028" w14:textId="77777777" w:rsidR="00B14FAE" w:rsidRPr="00CF0DF4" w:rsidRDefault="00B14FAE" w:rsidP="007C6889">
            <w:pPr>
              <w:pStyle w:val="Body-Table"/>
              <w:jc w:val="center"/>
              <w:rPr>
                <w:rFonts w:cs="Times New Roman"/>
              </w:rPr>
            </w:pPr>
            <w:r w:rsidRPr="00CF0DF4">
              <w:rPr>
                <w:rFonts w:cs="Times New Roman"/>
              </w:rPr>
              <w:t>475-550</w:t>
            </w:r>
          </w:p>
        </w:tc>
        <w:tc>
          <w:tcPr>
            <w:tcW w:w="1475" w:type="dxa"/>
            <w:tcBorders>
              <w:top w:val="nil"/>
              <w:left w:val="nil"/>
              <w:bottom w:val="nil"/>
              <w:right w:val="nil"/>
            </w:tcBorders>
            <w:shd w:val="clear" w:color="auto" w:fill="FFFFFF" w:themeFill="background1"/>
            <w:vAlign w:val="center"/>
            <w:hideMark/>
          </w:tcPr>
          <w:p w14:paraId="41752C31" w14:textId="77777777" w:rsidR="00B14FAE" w:rsidRPr="00CF0DF4" w:rsidRDefault="00B14FAE" w:rsidP="007C6889">
            <w:pPr>
              <w:pStyle w:val="Body-Table"/>
              <w:jc w:val="center"/>
              <w:rPr>
                <w:rFonts w:cs="Times New Roman"/>
              </w:rPr>
            </w:pPr>
            <w:r w:rsidRPr="00CF0DF4">
              <w:rPr>
                <w:rFonts w:cs="Times New Roman"/>
              </w:rPr>
              <w:t>512.5</w:t>
            </w:r>
          </w:p>
        </w:tc>
        <w:tc>
          <w:tcPr>
            <w:tcW w:w="1135" w:type="dxa"/>
            <w:tcBorders>
              <w:top w:val="nil"/>
              <w:left w:val="nil"/>
              <w:bottom w:val="nil"/>
              <w:right w:val="dotted" w:sz="4" w:space="0" w:color="auto"/>
            </w:tcBorders>
            <w:shd w:val="clear" w:color="auto" w:fill="FFFFFF" w:themeFill="background1"/>
            <w:vAlign w:val="center"/>
            <w:hideMark/>
          </w:tcPr>
          <w:p w14:paraId="472D2FBD"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2B8D3AA1" w14:textId="77777777" w:rsidR="00B14FAE" w:rsidRPr="00CF0DF4" w:rsidRDefault="00B14FAE" w:rsidP="007C6889">
            <w:pPr>
              <w:pStyle w:val="Body-Table"/>
              <w:jc w:val="center"/>
              <w:rPr>
                <w:rFonts w:cs="Times New Roman"/>
              </w:rPr>
            </w:pPr>
            <w:r w:rsidRPr="00CF0DF4">
              <w:rPr>
                <w:rFonts w:cs="Times New Roman"/>
              </w:rPr>
              <w:t>7000-8000</w:t>
            </w:r>
          </w:p>
        </w:tc>
        <w:tc>
          <w:tcPr>
            <w:tcW w:w="1475" w:type="dxa"/>
            <w:tcBorders>
              <w:top w:val="nil"/>
              <w:left w:val="nil"/>
              <w:bottom w:val="nil"/>
              <w:right w:val="nil"/>
            </w:tcBorders>
            <w:shd w:val="clear" w:color="auto" w:fill="FFFFFF" w:themeFill="background1"/>
            <w:vAlign w:val="center"/>
            <w:hideMark/>
          </w:tcPr>
          <w:p w14:paraId="640F0B93" w14:textId="77777777" w:rsidR="00B14FAE" w:rsidRPr="00CF0DF4" w:rsidRDefault="00B14FAE" w:rsidP="007C6889">
            <w:pPr>
              <w:pStyle w:val="Body-Table"/>
              <w:jc w:val="center"/>
              <w:rPr>
                <w:rFonts w:cs="Times New Roman"/>
              </w:rPr>
            </w:pPr>
            <w:r w:rsidRPr="00CF0DF4">
              <w:rPr>
                <w:rFonts w:cs="Times New Roman"/>
              </w:rPr>
              <w:t>7500</w:t>
            </w:r>
          </w:p>
        </w:tc>
        <w:tc>
          <w:tcPr>
            <w:tcW w:w="1135" w:type="dxa"/>
            <w:tcBorders>
              <w:top w:val="nil"/>
              <w:left w:val="nil"/>
              <w:bottom w:val="nil"/>
              <w:right w:val="single" w:sz="8" w:space="0" w:color="auto"/>
            </w:tcBorders>
            <w:shd w:val="clear" w:color="auto" w:fill="FFFFFF" w:themeFill="background1"/>
            <w:vAlign w:val="center"/>
            <w:hideMark/>
          </w:tcPr>
          <w:p w14:paraId="303C057B"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08ADEB6F"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045AF738" w14:textId="77777777" w:rsidR="00B14FAE" w:rsidRPr="00CF0DF4" w:rsidRDefault="00B14FAE" w:rsidP="007C6889">
            <w:pPr>
              <w:pStyle w:val="Body-Table"/>
              <w:jc w:val="center"/>
              <w:rPr>
                <w:rFonts w:cs="Times New Roman"/>
              </w:rPr>
            </w:pPr>
            <w:r w:rsidRPr="00CF0DF4">
              <w:rPr>
                <w:rFonts w:cs="Times New Roman"/>
              </w:rPr>
              <w:t>20</w:t>
            </w:r>
          </w:p>
        </w:tc>
        <w:tc>
          <w:tcPr>
            <w:tcW w:w="1716" w:type="dxa"/>
            <w:tcBorders>
              <w:top w:val="nil"/>
              <w:left w:val="dotted" w:sz="4" w:space="0" w:color="auto"/>
              <w:bottom w:val="nil"/>
              <w:right w:val="nil"/>
            </w:tcBorders>
            <w:shd w:val="clear" w:color="auto" w:fill="FFFFFF" w:themeFill="background1"/>
            <w:vAlign w:val="center"/>
            <w:hideMark/>
          </w:tcPr>
          <w:p w14:paraId="30CAC196" w14:textId="77777777" w:rsidR="00B14FAE" w:rsidRPr="00CF0DF4" w:rsidRDefault="00B14FAE" w:rsidP="007C6889">
            <w:pPr>
              <w:pStyle w:val="Body-Table"/>
              <w:jc w:val="center"/>
              <w:rPr>
                <w:rFonts w:cs="Times New Roman"/>
              </w:rPr>
            </w:pPr>
            <w:r w:rsidRPr="00CF0DF4">
              <w:rPr>
                <w:rFonts w:cs="Times New Roman"/>
              </w:rPr>
              <w:t>550-625</w:t>
            </w:r>
          </w:p>
        </w:tc>
        <w:tc>
          <w:tcPr>
            <w:tcW w:w="1475" w:type="dxa"/>
            <w:tcBorders>
              <w:top w:val="nil"/>
              <w:left w:val="nil"/>
              <w:bottom w:val="nil"/>
              <w:right w:val="nil"/>
            </w:tcBorders>
            <w:shd w:val="clear" w:color="auto" w:fill="FFFFFF" w:themeFill="background1"/>
            <w:vAlign w:val="center"/>
            <w:hideMark/>
          </w:tcPr>
          <w:p w14:paraId="6D7171B4" w14:textId="77777777" w:rsidR="00B14FAE" w:rsidRPr="00CF0DF4" w:rsidRDefault="00B14FAE" w:rsidP="007C6889">
            <w:pPr>
              <w:pStyle w:val="Body-Table"/>
              <w:jc w:val="center"/>
              <w:rPr>
                <w:rFonts w:cs="Times New Roman"/>
              </w:rPr>
            </w:pPr>
            <w:r w:rsidRPr="00CF0DF4">
              <w:rPr>
                <w:rFonts w:cs="Times New Roman"/>
              </w:rPr>
              <w:t>587.5</w:t>
            </w:r>
          </w:p>
        </w:tc>
        <w:tc>
          <w:tcPr>
            <w:tcW w:w="1135" w:type="dxa"/>
            <w:tcBorders>
              <w:top w:val="nil"/>
              <w:left w:val="nil"/>
              <w:bottom w:val="nil"/>
              <w:right w:val="dotted" w:sz="4" w:space="0" w:color="auto"/>
            </w:tcBorders>
            <w:shd w:val="clear" w:color="auto" w:fill="FFFFFF" w:themeFill="background1"/>
            <w:vAlign w:val="center"/>
            <w:hideMark/>
          </w:tcPr>
          <w:p w14:paraId="3423FAE8"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635D5B23" w14:textId="77777777" w:rsidR="00B14FAE" w:rsidRPr="00CF0DF4" w:rsidRDefault="00B14FAE" w:rsidP="007C6889">
            <w:pPr>
              <w:pStyle w:val="Body-Table"/>
              <w:jc w:val="center"/>
              <w:rPr>
                <w:rFonts w:cs="Times New Roman"/>
              </w:rPr>
            </w:pPr>
            <w:r w:rsidRPr="00CF0DF4">
              <w:rPr>
                <w:rFonts w:cs="Times New Roman"/>
              </w:rPr>
              <w:t>8000-9000</w:t>
            </w:r>
          </w:p>
        </w:tc>
        <w:tc>
          <w:tcPr>
            <w:tcW w:w="1475" w:type="dxa"/>
            <w:tcBorders>
              <w:top w:val="nil"/>
              <w:left w:val="nil"/>
              <w:bottom w:val="nil"/>
              <w:right w:val="nil"/>
            </w:tcBorders>
            <w:shd w:val="clear" w:color="auto" w:fill="FFFFFF" w:themeFill="background1"/>
            <w:vAlign w:val="center"/>
            <w:hideMark/>
          </w:tcPr>
          <w:p w14:paraId="0F7E4B26" w14:textId="77777777" w:rsidR="00B14FAE" w:rsidRPr="00CF0DF4" w:rsidRDefault="00B14FAE" w:rsidP="007C6889">
            <w:pPr>
              <w:pStyle w:val="Body-Table"/>
              <w:jc w:val="center"/>
              <w:rPr>
                <w:rFonts w:cs="Times New Roman"/>
              </w:rPr>
            </w:pPr>
            <w:r w:rsidRPr="00CF0DF4">
              <w:rPr>
                <w:rFonts w:cs="Times New Roman"/>
              </w:rPr>
              <w:t>8500</w:t>
            </w:r>
          </w:p>
        </w:tc>
        <w:tc>
          <w:tcPr>
            <w:tcW w:w="1135" w:type="dxa"/>
            <w:tcBorders>
              <w:top w:val="nil"/>
              <w:left w:val="nil"/>
              <w:bottom w:val="nil"/>
              <w:right w:val="single" w:sz="8" w:space="0" w:color="auto"/>
            </w:tcBorders>
            <w:shd w:val="clear" w:color="auto" w:fill="FFFFFF" w:themeFill="background1"/>
            <w:vAlign w:val="center"/>
            <w:hideMark/>
          </w:tcPr>
          <w:p w14:paraId="7B15A6D3"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318373FF"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32DC1B1" w14:textId="77777777" w:rsidR="00B14FAE" w:rsidRPr="00CF0DF4" w:rsidRDefault="00B14FAE" w:rsidP="007C6889">
            <w:pPr>
              <w:pStyle w:val="Body-Table"/>
              <w:jc w:val="center"/>
              <w:rPr>
                <w:rFonts w:cs="Times New Roman"/>
              </w:rPr>
            </w:pPr>
            <w:r w:rsidRPr="00CF0DF4">
              <w:rPr>
                <w:rFonts w:cs="Times New Roman"/>
              </w:rPr>
              <w:t>21</w:t>
            </w:r>
          </w:p>
        </w:tc>
        <w:tc>
          <w:tcPr>
            <w:tcW w:w="1716" w:type="dxa"/>
            <w:tcBorders>
              <w:top w:val="nil"/>
              <w:left w:val="dotted" w:sz="4" w:space="0" w:color="auto"/>
              <w:bottom w:val="nil"/>
              <w:right w:val="nil"/>
            </w:tcBorders>
            <w:shd w:val="clear" w:color="auto" w:fill="FFFFFF" w:themeFill="background1"/>
            <w:vAlign w:val="center"/>
            <w:hideMark/>
          </w:tcPr>
          <w:p w14:paraId="5D6C57E6" w14:textId="77777777" w:rsidR="00B14FAE" w:rsidRPr="00CF0DF4" w:rsidRDefault="00B14FAE" w:rsidP="007C6889">
            <w:pPr>
              <w:pStyle w:val="Body-Table"/>
              <w:jc w:val="center"/>
              <w:rPr>
                <w:rFonts w:cs="Times New Roman"/>
              </w:rPr>
            </w:pPr>
            <w:r w:rsidRPr="00CF0DF4">
              <w:rPr>
                <w:rFonts w:cs="Times New Roman"/>
              </w:rPr>
              <w:t>625-700</w:t>
            </w:r>
          </w:p>
        </w:tc>
        <w:tc>
          <w:tcPr>
            <w:tcW w:w="1475" w:type="dxa"/>
            <w:tcBorders>
              <w:top w:val="nil"/>
              <w:left w:val="nil"/>
              <w:bottom w:val="nil"/>
              <w:right w:val="nil"/>
            </w:tcBorders>
            <w:shd w:val="clear" w:color="auto" w:fill="FFFFFF" w:themeFill="background1"/>
            <w:vAlign w:val="center"/>
            <w:hideMark/>
          </w:tcPr>
          <w:p w14:paraId="20750007" w14:textId="77777777" w:rsidR="00B14FAE" w:rsidRPr="00CF0DF4" w:rsidRDefault="00B14FAE" w:rsidP="007C6889">
            <w:pPr>
              <w:pStyle w:val="Body-Table"/>
              <w:jc w:val="center"/>
              <w:rPr>
                <w:rFonts w:cs="Times New Roman"/>
              </w:rPr>
            </w:pPr>
            <w:r w:rsidRPr="00CF0DF4">
              <w:rPr>
                <w:rFonts w:cs="Times New Roman"/>
              </w:rPr>
              <w:t>662.5</w:t>
            </w:r>
          </w:p>
        </w:tc>
        <w:tc>
          <w:tcPr>
            <w:tcW w:w="1135" w:type="dxa"/>
            <w:tcBorders>
              <w:top w:val="nil"/>
              <w:left w:val="nil"/>
              <w:bottom w:val="nil"/>
              <w:right w:val="dotted" w:sz="4" w:space="0" w:color="auto"/>
            </w:tcBorders>
            <w:shd w:val="clear" w:color="auto" w:fill="FFFFFF" w:themeFill="background1"/>
            <w:vAlign w:val="center"/>
            <w:hideMark/>
          </w:tcPr>
          <w:p w14:paraId="438ECE7B"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58941887" w14:textId="77777777" w:rsidR="00B14FAE" w:rsidRPr="00CF0DF4" w:rsidRDefault="00B14FAE" w:rsidP="007C6889">
            <w:pPr>
              <w:pStyle w:val="Body-Table"/>
              <w:jc w:val="center"/>
              <w:rPr>
                <w:rFonts w:cs="Times New Roman"/>
              </w:rPr>
            </w:pPr>
            <w:r w:rsidRPr="00CF0DF4">
              <w:rPr>
                <w:rFonts w:cs="Times New Roman"/>
              </w:rPr>
              <w:t>9000-10000</w:t>
            </w:r>
          </w:p>
        </w:tc>
        <w:tc>
          <w:tcPr>
            <w:tcW w:w="1475" w:type="dxa"/>
            <w:tcBorders>
              <w:top w:val="nil"/>
              <w:left w:val="nil"/>
              <w:bottom w:val="nil"/>
              <w:right w:val="nil"/>
            </w:tcBorders>
            <w:shd w:val="clear" w:color="auto" w:fill="FFFFFF" w:themeFill="background1"/>
            <w:vAlign w:val="center"/>
            <w:hideMark/>
          </w:tcPr>
          <w:p w14:paraId="447DD6B3" w14:textId="77777777" w:rsidR="00B14FAE" w:rsidRPr="00CF0DF4" w:rsidRDefault="00B14FAE" w:rsidP="007C6889">
            <w:pPr>
              <w:pStyle w:val="Body-Table"/>
              <w:jc w:val="center"/>
              <w:rPr>
                <w:rFonts w:cs="Times New Roman"/>
              </w:rPr>
            </w:pPr>
            <w:r w:rsidRPr="00CF0DF4">
              <w:rPr>
                <w:rFonts w:cs="Times New Roman"/>
              </w:rPr>
              <w:t>9500</w:t>
            </w:r>
          </w:p>
        </w:tc>
        <w:tc>
          <w:tcPr>
            <w:tcW w:w="1135" w:type="dxa"/>
            <w:tcBorders>
              <w:top w:val="nil"/>
              <w:left w:val="nil"/>
              <w:bottom w:val="nil"/>
              <w:right w:val="single" w:sz="8" w:space="0" w:color="auto"/>
            </w:tcBorders>
            <w:shd w:val="clear" w:color="auto" w:fill="FFFFFF" w:themeFill="background1"/>
            <w:vAlign w:val="center"/>
            <w:hideMark/>
          </w:tcPr>
          <w:p w14:paraId="2AA25AD5"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212D6557"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B05D694" w14:textId="77777777" w:rsidR="00B14FAE" w:rsidRPr="00CF0DF4" w:rsidRDefault="00B14FAE" w:rsidP="007C6889">
            <w:pPr>
              <w:pStyle w:val="Body-Table"/>
              <w:jc w:val="center"/>
              <w:rPr>
                <w:rFonts w:cs="Times New Roman"/>
              </w:rPr>
            </w:pPr>
            <w:r w:rsidRPr="00CF0DF4">
              <w:rPr>
                <w:rFonts w:cs="Times New Roman"/>
              </w:rPr>
              <w:t>22</w:t>
            </w:r>
          </w:p>
        </w:tc>
        <w:tc>
          <w:tcPr>
            <w:tcW w:w="1716" w:type="dxa"/>
            <w:tcBorders>
              <w:top w:val="nil"/>
              <w:left w:val="dotted" w:sz="4" w:space="0" w:color="auto"/>
              <w:bottom w:val="nil"/>
              <w:right w:val="nil"/>
            </w:tcBorders>
            <w:shd w:val="clear" w:color="auto" w:fill="FFFFFF" w:themeFill="background1"/>
            <w:vAlign w:val="center"/>
            <w:hideMark/>
          </w:tcPr>
          <w:p w14:paraId="4A05B68B" w14:textId="77777777" w:rsidR="00B14FAE" w:rsidRPr="00CF0DF4" w:rsidRDefault="00B14FAE" w:rsidP="007C6889">
            <w:pPr>
              <w:pStyle w:val="Body-Table"/>
              <w:jc w:val="center"/>
              <w:rPr>
                <w:rFonts w:cs="Times New Roman"/>
              </w:rPr>
            </w:pPr>
            <w:r w:rsidRPr="00CF0DF4">
              <w:rPr>
                <w:rFonts w:cs="Times New Roman"/>
              </w:rPr>
              <w:t>700-800</w:t>
            </w:r>
          </w:p>
        </w:tc>
        <w:tc>
          <w:tcPr>
            <w:tcW w:w="1475" w:type="dxa"/>
            <w:tcBorders>
              <w:top w:val="nil"/>
              <w:left w:val="nil"/>
              <w:bottom w:val="nil"/>
              <w:right w:val="nil"/>
            </w:tcBorders>
            <w:shd w:val="clear" w:color="auto" w:fill="FFFFFF" w:themeFill="background1"/>
            <w:vAlign w:val="center"/>
            <w:hideMark/>
          </w:tcPr>
          <w:p w14:paraId="5838D6F9" w14:textId="77777777" w:rsidR="00B14FAE" w:rsidRPr="00CF0DF4" w:rsidRDefault="00B14FAE" w:rsidP="007C6889">
            <w:pPr>
              <w:pStyle w:val="Body-Table"/>
              <w:jc w:val="center"/>
              <w:rPr>
                <w:rFonts w:cs="Times New Roman"/>
              </w:rPr>
            </w:pPr>
            <w:r w:rsidRPr="00CF0DF4">
              <w:rPr>
                <w:rFonts w:cs="Times New Roman"/>
              </w:rPr>
              <w:t>750</w:t>
            </w:r>
          </w:p>
        </w:tc>
        <w:tc>
          <w:tcPr>
            <w:tcW w:w="1135" w:type="dxa"/>
            <w:tcBorders>
              <w:top w:val="nil"/>
              <w:left w:val="nil"/>
              <w:bottom w:val="nil"/>
              <w:right w:val="dotted" w:sz="4" w:space="0" w:color="auto"/>
            </w:tcBorders>
            <w:shd w:val="clear" w:color="auto" w:fill="FFFFFF" w:themeFill="background1"/>
            <w:vAlign w:val="center"/>
            <w:hideMark/>
          </w:tcPr>
          <w:p w14:paraId="179BFE8D" w14:textId="77777777" w:rsidR="00B14FAE" w:rsidRPr="00CF0DF4" w:rsidRDefault="00B14FAE" w:rsidP="007C6889">
            <w:pPr>
              <w:pStyle w:val="Body-Table"/>
              <w:jc w:val="center"/>
              <w:rPr>
                <w:rFonts w:cs="Times New Roman"/>
              </w:rPr>
            </w:pPr>
            <w:r w:rsidRPr="00CF0DF4">
              <w:rPr>
                <w:rFonts w:cs="Times New Roman"/>
              </w:rPr>
              <w:t>100</w:t>
            </w:r>
          </w:p>
        </w:tc>
        <w:tc>
          <w:tcPr>
            <w:tcW w:w="1716" w:type="dxa"/>
            <w:tcBorders>
              <w:top w:val="nil"/>
              <w:left w:val="nil"/>
              <w:bottom w:val="nil"/>
              <w:right w:val="nil"/>
            </w:tcBorders>
            <w:shd w:val="clear" w:color="auto" w:fill="FFFFFF" w:themeFill="background1"/>
            <w:vAlign w:val="center"/>
            <w:hideMark/>
          </w:tcPr>
          <w:p w14:paraId="568136DF" w14:textId="77777777" w:rsidR="00B14FAE" w:rsidRPr="00CF0DF4" w:rsidRDefault="00B14FAE" w:rsidP="007C6889">
            <w:pPr>
              <w:pStyle w:val="Body-Table"/>
              <w:jc w:val="center"/>
              <w:rPr>
                <w:rFonts w:cs="Times New Roman"/>
              </w:rPr>
            </w:pPr>
            <w:r w:rsidRPr="00CF0DF4">
              <w:rPr>
                <w:rFonts w:cs="Times New Roman"/>
              </w:rPr>
              <w:t>10000-12000</w:t>
            </w:r>
          </w:p>
        </w:tc>
        <w:tc>
          <w:tcPr>
            <w:tcW w:w="1475" w:type="dxa"/>
            <w:tcBorders>
              <w:top w:val="nil"/>
              <w:left w:val="nil"/>
              <w:bottom w:val="nil"/>
              <w:right w:val="nil"/>
            </w:tcBorders>
            <w:shd w:val="clear" w:color="auto" w:fill="FFFFFF" w:themeFill="background1"/>
            <w:vAlign w:val="center"/>
            <w:hideMark/>
          </w:tcPr>
          <w:p w14:paraId="3622E613" w14:textId="77777777" w:rsidR="00B14FAE" w:rsidRPr="00CF0DF4" w:rsidRDefault="00B14FAE" w:rsidP="007C6889">
            <w:pPr>
              <w:pStyle w:val="Body-Table"/>
              <w:jc w:val="center"/>
              <w:rPr>
                <w:rFonts w:cs="Times New Roman"/>
              </w:rPr>
            </w:pPr>
            <w:r w:rsidRPr="00CF0DF4">
              <w:rPr>
                <w:rFonts w:cs="Times New Roman"/>
              </w:rPr>
              <w:t>11000</w:t>
            </w:r>
          </w:p>
        </w:tc>
        <w:tc>
          <w:tcPr>
            <w:tcW w:w="1135" w:type="dxa"/>
            <w:tcBorders>
              <w:top w:val="nil"/>
              <w:left w:val="nil"/>
              <w:bottom w:val="nil"/>
              <w:right w:val="single" w:sz="8" w:space="0" w:color="auto"/>
            </w:tcBorders>
            <w:shd w:val="clear" w:color="auto" w:fill="FFFFFF" w:themeFill="background1"/>
            <w:vAlign w:val="center"/>
            <w:hideMark/>
          </w:tcPr>
          <w:p w14:paraId="73E1314E"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4B5742FA"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5957293" w14:textId="77777777" w:rsidR="00B14FAE" w:rsidRPr="00CF0DF4" w:rsidRDefault="00B14FAE" w:rsidP="007C6889">
            <w:pPr>
              <w:pStyle w:val="Body-Table"/>
              <w:jc w:val="center"/>
              <w:rPr>
                <w:rFonts w:cs="Times New Roman"/>
              </w:rPr>
            </w:pPr>
            <w:r w:rsidRPr="00CF0DF4">
              <w:rPr>
                <w:rFonts w:cs="Times New Roman"/>
              </w:rPr>
              <w:t>23</w:t>
            </w:r>
          </w:p>
        </w:tc>
        <w:tc>
          <w:tcPr>
            <w:tcW w:w="1716" w:type="dxa"/>
            <w:tcBorders>
              <w:top w:val="nil"/>
              <w:left w:val="dotted" w:sz="4" w:space="0" w:color="auto"/>
              <w:bottom w:val="nil"/>
              <w:right w:val="nil"/>
            </w:tcBorders>
            <w:shd w:val="clear" w:color="auto" w:fill="FFFFFF" w:themeFill="background1"/>
            <w:vAlign w:val="center"/>
            <w:hideMark/>
          </w:tcPr>
          <w:p w14:paraId="3159658B" w14:textId="77777777" w:rsidR="00B14FAE" w:rsidRPr="00CF0DF4" w:rsidRDefault="00B14FAE" w:rsidP="007C6889">
            <w:pPr>
              <w:pStyle w:val="Body-Table"/>
              <w:jc w:val="center"/>
              <w:rPr>
                <w:rFonts w:cs="Times New Roman"/>
              </w:rPr>
            </w:pPr>
            <w:r w:rsidRPr="00CF0DF4">
              <w:rPr>
                <w:rFonts w:cs="Times New Roman"/>
              </w:rPr>
              <w:t>800-900</w:t>
            </w:r>
          </w:p>
        </w:tc>
        <w:tc>
          <w:tcPr>
            <w:tcW w:w="1475" w:type="dxa"/>
            <w:tcBorders>
              <w:top w:val="nil"/>
              <w:left w:val="nil"/>
              <w:bottom w:val="nil"/>
              <w:right w:val="nil"/>
            </w:tcBorders>
            <w:shd w:val="clear" w:color="auto" w:fill="FFFFFF" w:themeFill="background1"/>
            <w:vAlign w:val="center"/>
            <w:hideMark/>
          </w:tcPr>
          <w:p w14:paraId="4D994DCD" w14:textId="77777777" w:rsidR="00B14FAE" w:rsidRPr="00CF0DF4" w:rsidRDefault="00B14FAE" w:rsidP="007C6889">
            <w:pPr>
              <w:pStyle w:val="Body-Table"/>
              <w:jc w:val="center"/>
              <w:rPr>
                <w:rFonts w:cs="Times New Roman"/>
              </w:rPr>
            </w:pPr>
            <w:r w:rsidRPr="00CF0DF4">
              <w:rPr>
                <w:rFonts w:cs="Times New Roman"/>
              </w:rPr>
              <w:t>850</w:t>
            </w:r>
          </w:p>
        </w:tc>
        <w:tc>
          <w:tcPr>
            <w:tcW w:w="1135" w:type="dxa"/>
            <w:tcBorders>
              <w:top w:val="nil"/>
              <w:left w:val="nil"/>
              <w:bottom w:val="nil"/>
              <w:right w:val="dotted" w:sz="4" w:space="0" w:color="auto"/>
            </w:tcBorders>
            <w:shd w:val="clear" w:color="auto" w:fill="FFFFFF" w:themeFill="background1"/>
            <w:vAlign w:val="center"/>
            <w:hideMark/>
          </w:tcPr>
          <w:p w14:paraId="0D4A962E" w14:textId="77777777" w:rsidR="00B14FAE" w:rsidRPr="00CF0DF4" w:rsidRDefault="00B14FAE" w:rsidP="007C6889">
            <w:pPr>
              <w:pStyle w:val="Body-Table"/>
              <w:jc w:val="center"/>
              <w:rPr>
                <w:rFonts w:cs="Times New Roman"/>
              </w:rPr>
            </w:pPr>
            <w:r w:rsidRPr="00CF0DF4">
              <w:rPr>
                <w:rFonts w:cs="Times New Roman"/>
              </w:rPr>
              <w:t>100</w:t>
            </w:r>
          </w:p>
        </w:tc>
        <w:tc>
          <w:tcPr>
            <w:tcW w:w="1716" w:type="dxa"/>
            <w:tcBorders>
              <w:top w:val="nil"/>
              <w:left w:val="nil"/>
              <w:bottom w:val="nil"/>
              <w:right w:val="nil"/>
            </w:tcBorders>
            <w:shd w:val="clear" w:color="auto" w:fill="FFFFFF" w:themeFill="background1"/>
            <w:vAlign w:val="center"/>
            <w:hideMark/>
          </w:tcPr>
          <w:p w14:paraId="01701AFC" w14:textId="77777777" w:rsidR="00B14FAE" w:rsidRPr="00CF0DF4" w:rsidRDefault="00B14FAE" w:rsidP="007C6889">
            <w:pPr>
              <w:pStyle w:val="Body-Table"/>
              <w:jc w:val="center"/>
              <w:rPr>
                <w:rFonts w:cs="Times New Roman"/>
              </w:rPr>
            </w:pPr>
            <w:r w:rsidRPr="00CF0DF4">
              <w:rPr>
                <w:rFonts w:cs="Times New Roman"/>
              </w:rPr>
              <w:t>12000-14000</w:t>
            </w:r>
          </w:p>
        </w:tc>
        <w:tc>
          <w:tcPr>
            <w:tcW w:w="1475" w:type="dxa"/>
            <w:tcBorders>
              <w:top w:val="nil"/>
              <w:left w:val="nil"/>
              <w:bottom w:val="nil"/>
              <w:right w:val="nil"/>
            </w:tcBorders>
            <w:shd w:val="clear" w:color="auto" w:fill="FFFFFF" w:themeFill="background1"/>
            <w:vAlign w:val="center"/>
            <w:hideMark/>
          </w:tcPr>
          <w:p w14:paraId="44C7F8D5" w14:textId="77777777" w:rsidR="00B14FAE" w:rsidRPr="00CF0DF4" w:rsidRDefault="00B14FAE" w:rsidP="007C6889">
            <w:pPr>
              <w:pStyle w:val="Body-Table"/>
              <w:jc w:val="center"/>
              <w:rPr>
                <w:rFonts w:cs="Times New Roman"/>
              </w:rPr>
            </w:pPr>
            <w:r w:rsidRPr="00CF0DF4">
              <w:rPr>
                <w:rFonts w:cs="Times New Roman"/>
              </w:rPr>
              <w:t>13000</w:t>
            </w:r>
          </w:p>
        </w:tc>
        <w:tc>
          <w:tcPr>
            <w:tcW w:w="1135" w:type="dxa"/>
            <w:tcBorders>
              <w:top w:val="nil"/>
              <w:left w:val="nil"/>
              <w:bottom w:val="nil"/>
              <w:right w:val="single" w:sz="8" w:space="0" w:color="auto"/>
            </w:tcBorders>
            <w:shd w:val="clear" w:color="auto" w:fill="FFFFFF" w:themeFill="background1"/>
            <w:vAlign w:val="center"/>
            <w:hideMark/>
          </w:tcPr>
          <w:p w14:paraId="46A1E191"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21A08692"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DB15FB6" w14:textId="77777777" w:rsidR="00B14FAE" w:rsidRPr="00CF0DF4" w:rsidRDefault="00B14FAE" w:rsidP="007C6889">
            <w:pPr>
              <w:pStyle w:val="Body-Table"/>
              <w:jc w:val="center"/>
              <w:rPr>
                <w:rFonts w:cs="Times New Roman"/>
              </w:rPr>
            </w:pPr>
            <w:r w:rsidRPr="00CF0DF4">
              <w:rPr>
                <w:rFonts w:cs="Times New Roman"/>
              </w:rPr>
              <w:t>24</w:t>
            </w:r>
          </w:p>
        </w:tc>
        <w:tc>
          <w:tcPr>
            <w:tcW w:w="1716" w:type="dxa"/>
            <w:tcBorders>
              <w:top w:val="nil"/>
              <w:left w:val="dotted" w:sz="4" w:space="0" w:color="auto"/>
              <w:bottom w:val="nil"/>
              <w:right w:val="nil"/>
            </w:tcBorders>
            <w:shd w:val="clear" w:color="auto" w:fill="FFFFFF" w:themeFill="background1"/>
            <w:vAlign w:val="center"/>
            <w:hideMark/>
          </w:tcPr>
          <w:p w14:paraId="48B1C2BA" w14:textId="77777777" w:rsidR="00B14FAE" w:rsidRPr="00CF0DF4" w:rsidRDefault="00B14FAE" w:rsidP="007C6889">
            <w:pPr>
              <w:pStyle w:val="Body-Table"/>
              <w:jc w:val="center"/>
              <w:rPr>
                <w:rFonts w:cs="Times New Roman"/>
              </w:rPr>
            </w:pPr>
            <w:r w:rsidRPr="00CF0DF4">
              <w:rPr>
                <w:rFonts w:cs="Times New Roman"/>
              </w:rPr>
              <w:t>900-1000</w:t>
            </w:r>
          </w:p>
        </w:tc>
        <w:tc>
          <w:tcPr>
            <w:tcW w:w="1475" w:type="dxa"/>
            <w:tcBorders>
              <w:top w:val="nil"/>
              <w:left w:val="nil"/>
              <w:bottom w:val="nil"/>
              <w:right w:val="nil"/>
            </w:tcBorders>
            <w:shd w:val="clear" w:color="auto" w:fill="FFFFFF" w:themeFill="background1"/>
            <w:vAlign w:val="center"/>
            <w:hideMark/>
          </w:tcPr>
          <w:p w14:paraId="66882BEA" w14:textId="77777777" w:rsidR="00B14FAE" w:rsidRPr="00CF0DF4" w:rsidRDefault="00B14FAE" w:rsidP="007C6889">
            <w:pPr>
              <w:pStyle w:val="Body-Table"/>
              <w:jc w:val="center"/>
              <w:rPr>
                <w:rFonts w:cs="Times New Roman"/>
              </w:rPr>
            </w:pPr>
            <w:r w:rsidRPr="00CF0DF4">
              <w:rPr>
                <w:rFonts w:cs="Times New Roman"/>
              </w:rPr>
              <w:t>950</w:t>
            </w:r>
          </w:p>
        </w:tc>
        <w:tc>
          <w:tcPr>
            <w:tcW w:w="1135" w:type="dxa"/>
            <w:tcBorders>
              <w:top w:val="nil"/>
              <w:left w:val="nil"/>
              <w:bottom w:val="nil"/>
              <w:right w:val="dotted" w:sz="4" w:space="0" w:color="auto"/>
            </w:tcBorders>
            <w:shd w:val="clear" w:color="auto" w:fill="FFFFFF" w:themeFill="background1"/>
            <w:vAlign w:val="center"/>
            <w:hideMark/>
          </w:tcPr>
          <w:p w14:paraId="1109A1C1" w14:textId="77777777" w:rsidR="00B14FAE" w:rsidRPr="00CF0DF4" w:rsidRDefault="00B14FAE" w:rsidP="007C6889">
            <w:pPr>
              <w:pStyle w:val="Body-Table"/>
              <w:jc w:val="center"/>
              <w:rPr>
                <w:rFonts w:cs="Times New Roman"/>
              </w:rPr>
            </w:pPr>
            <w:r w:rsidRPr="00CF0DF4">
              <w:rPr>
                <w:rFonts w:cs="Times New Roman"/>
              </w:rPr>
              <w:t>100</w:t>
            </w:r>
          </w:p>
        </w:tc>
        <w:tc>
          <w:tcPr>
            <w:tcW w:w="1716" w:type="dxa"/>
            <w:tcBorders>
              <w:top w:val="nil"/>
              <w:left w:val="nil"/>
              <w:bottom w:val="nil"/>
              <w:right w:val="nil"/>
            </w:tcBorders>
            <w:shd w:val="clear" w:color="auto" w:fill="FFFFFF" w:themeFill="background1"/>
            <w:vAlign w:val="center"/>
            <w:hideMark/>
          </w:tcPr>
          <w:p w14:paraId="398F1240" w14:textId="77777777" w:rsidR="00B14FAE" w:rsidRPr="00CF0DF4" w:rsidRDefault="00B14FAE" w:rsidP="007C6889">
            <w:pPr>
              <w:pStyle w:val="Body-Table"/>
              <w:jc w:val="center"/>
              <w:rPr>
                <w:rFonts w:cs="Times New Roman"/>
              </w:rPr>
            </w:pPr>
            <w:r w:rsidRPr="00CF0DF4">
              <w:rPr>
                <w:rFonts w:cs="Times New Roman"/>
              </w:rPr>
              <w:t>14000-16000</w:t>
            </w:r>
          </w:p>
        </w:tc>
        <w:tc>
          <w:tcPr>
            <w:tcW w:w="1475" w:type="dxa"/>
            <w:tcBorders>
              <w:top w:val="nil"/>
              <w:left w:val="nil"/>
              <w:bottom w:val="nil"/>
              <w:right w:val="nil"/>
            </w:tcBorders>
            <w:shd w:val="clear" w:color="auto" w:fill="FFFFFF" w:themeFill="background1"/>
            <w:vAlign w:val="center"/>
            <w:hideMark/>
          </w:tcPr>
          <w:p w14:paraId="40BBF060" w14:textId="77777777" w:rsidR="00B14FAE" w:rsidRPr="00CF0DF4" w:rsidRDefault="00B14FAE" w:rsidP="007C6889">
            <w:pPr>
              <w:pStyle w:val="Body-Table"/>
              <w:jc w:val="center"/>
              <w:rPr>
                <w:rFonts w:cs="Times New Roman"/>
              </w:rPr>
            </w:pPr>
            <w:r w:rsidRPr="00CF0DF4">
              <w:rPr>
                <w:rFonts w:cs="Times New Roman"/>
              </w:rPr>
              <w:t>15000</w:t>
            </w:r>
          </w:p>
        </w:tc>
        <w:tc>
          <w:tcPr>
            <w:tcW w:w="1135" w:type="dxa"/>
            <w:tcBorders>
              <w:top w:val="nil"/>
              <w:left w:val="nil"/>
              <w:bottom w:val="nil"/>
              <w:right w:val="single" w:sz="8" w:space="0" w:color="auto"/>
            </w:tcBorders>
            <w:shd w:val="clear" w:color="auto" w:fill="FFFFFF" w:themeFill="background1"/>
            <w:vAlign w:val="center"/>
            <w:hideMark/>
          </w:tcPr>
          <w:p w14:paraId="05016586"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00B11BA3"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6574E0E" w14:textId="77777777" w:rsidR="00B14FAE" w:rsidRPr="00CF0DF4" w:rsidRDefault="00B14FAE" w:rsidP="007C6889">
            <w:pPr>
              <w:pStyle w:val="Body-Table"/>
              <w:jc w:val="center"/>
              <w:rPr>
                <w:rFonts w:cs="Times New Roman"/>
              </w:rPr>
            </w:pPr>
            <w:r w:rsidRPr="00CF0DF4">
              <w:rPr>
                <w:rFonts w:cs="Times New Roman"/>
              </w:rPr>
              <w:t>25</w:t>
            </w:r>
          </w:p>
        </w:tc>
        <w:tc>
          <w:tcPr>
            <w:tcW w:w="1716" w:type="dxa"/>
            <w:tcBorders>
              <w:top w:val="nil"/>
              <w:left w:val="dotted" w:sz="4" w:space="0" w:color="auto"/>
              <w:bottom w:val="nil"/>
              <w:right w:val="nil"/>
            </w:tcBorders>
            <w:shd w:val="clear" w:color="auto" w:fill="FFFFFF" w:themeFill="background1"/>
            <w:vAlign w:val="center"/>
            <w:hideMark/>
          </w:tcPr>
          <w:p w14:paraId="7E5A3FB5" w14:textId="77777777" w:rsidR="00B14FAE" w:rsidRPr="00CF0DF4" w:rsidRDefault="00B14FAE" w:rsidP="007C6889">
            <w:pPr>
              <w:pStyle w:val="Body-Table"/>
              <w:jc w:val="center"/>
              <w:rPr>
                <w:rFonts w:cs="Times New Roman"/>
              </w:rPr>
            </w:pPr>
            <w:r w:rsidRPr="00CF0DF4">
              <w:rPr>
                <w:rFonts w:cs="Times New Roman"/>
              </w:rPr>
              <w:t>1000-1200</w:t>
            </w:r>
          </w:p>
        </w:tc>
        <w:tc>
          <w:tcPr>
            <w:tcW w:w="1475" w:type="dxa"/>
            <w:tcBorders>
              <w:top w:val="nil"/>
              <w:left w:val="nil"/>
              <w:bottom w:val="nil"/>
              <w:right w:val="nil"/>
            </w:tcBorders>
            <w:shd w:val="clear" w:color="auto" w:fill="FFFFFF" w:themeFill="background1"/>
            <w:vAlign w:val="center"/>
            <w:hideMark/>
          </w:tcPr>
          <w:p w14:paraId="674AEDAD" w14:textId="77777777" w:rsidR="00B14FAE" w:rsidRPr="00CF0DF4" w:rsidRDefault="00B14FAE" w:rsidP="007C6889">
            <w:pPr>
              <w:pStyle w:val="Body-Table"/>
              <w:jc w:val="center"/>
              <w:rPr>
                <w:rFonts w:cs="Times New Roman"/>
              </w:rPr>
            </w:pPr>
            <w:r w:rsidRPr="00CF0DF4">
              <w:rPr>
                <w:rFonts w:cs="Times New Roman"/>
              </w:rPr>
              <w:t>1100</w:t>
            </w:r>
          </w:p>
        </w:tc>
        <w:tc>
          <w:tcPr>
            <w:tcW w:w="1135" w:type="dxa"/>
            <w:tcBorders>
              <w:top w:val="nil"/>
              <w:left w:val="nil"/>
              <w:bottom w:val="nil"/>
              <w:right w:val="dotted" w:sz="4" w:space="0" w:color="auto"/>
            </w:tcBorders>
            <w:shd w:val="clear" w:color="auto" w:fill="FFFFFF" w:themeFill="background1"/>
            <w:vAlign w:val="center"/>
            <w:hideMark/>
          </w:tcPr>
          <w:p w14:paraId="408CE77B"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78992728" w14:textId="77777777" w:rsidR="00B14FAE" w:rsidRPr="00CF0DF4" w:rsidRDefault="00B14FAE" w:rsidP="007C6889">
            <w:pPr>
              <w:pStyle w:val="Body-Table"/>
              <w:jc w:val="center"/>
              <w:rPr>
                <w:rFonts w:cs="Times New Roman"/>
              </w:rPr>
            </w:pPr>
            <w:r w:rsidRPr="00CF0DF4">
              <w:rPr>
                <w:rFonts w:cs="Times New Roman"/>
              </w:rPr>
              <w:t>16000-18000</w:t>
            </w:r>
          </w:p>
        </w:tc>
        <w:tc>
          <w:tcPr>
            <w:tcW w:w="1475" w:type="dxa"/>
            <w:tcBorders>
              <w:top w:val="nil"/>
              <w:left w:val="nil"/>
              <w:bottom w:val="nil"/>
              <w:right w:val="nil"/>
            </w:tcBorders>
            <w:shd w:val="clear" w:color="auto" w:fill="FFFFFF" w:themeFill="background1"/>
            <w:vAlign w:val="center"/>
            <w:hideMark/>
          </w:tcPr>
          <w:p w14:paraId="268022B1" w14:textId="77777777" w:rsidR="00B14FAE" w:rsidRPr="00CF0DF4" w:rsidRDefault="00B14FAE" w:rsidP="007C6889">
            <w:pPr>
              <w:pStyle w:val="Body-Table"/>
              <w:jc w:val="center"/>
              <w:rPr>
                <w:rFonts w:cs="Times New Roman"/>
              </w:rPr>
            </w:pPr>
            <w:r w:rsidRPr="00CF0DF4">
              <w:rPr>
                <w:rFonts w:cs="Times New Roman"/>
              </w:rPr>
              <w:t>17000</w:t>
            </w:r>
          </w:p>
        </w:tc>
        <w:tc>
          <w:tcPr>
            <w:tcW w:w="1135" w:type="dxa"/>
            <w:tcBorders>
              <w:top w:val="nil"/>
              <w:left w:val="nil"/>
              <w:bottom w:val="nil"/>
              <w:right w:val="single" w:sz="8" w:space="0" w:color="auto"/>
            </w:tcBorders>
            <w:shd w:val="clear" w:color="auto" w:fill="FFFFFF" w:themeFill="background1"/>
            <w:vAlign w:val="center"/>
            <w:hideMark/>
          </w:tcPr>
          <w:p w14:paraId="1CBFAF34"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261484AB" w14:textId="77777777" w:rsidTr="6A504B5C">
        <w:trPr>
          <w:cantSplit/>
          <w:trHeight w:val="300"/>
        </w:trPr>
        <w:tc>
          <w:tcPr>
            <w:tcW w:w="708" w:type="dxa"/>
            <w:tcBorders>
              <w:top w:val="nil"/>
              <w:left w:val="single" w:sz="8" w:space="0" w:color="auto"/>
              <w:bottom w:val="nil"/>
              <w:right w:val="nil"/>
            </w:tcBorders>
            <w:shd w:val="clear" w:color="auto" w:fill="FFFFFF" w:themeFill="background1"/>
            <w:vAlign w:val="center"/>
            <w:hideMark/>
          </w:tcPr>
          <w:p w14:paraId="257DE31B" w14:textId="77777777" w:rsidR="00B14FAE" w:rsidRPr="00CF0DF4" w:rsidRDefault="00B14FAE" w:rsidP="007C6889">
            <w:pPr>
              <w:pStyle w:val="Body-Table"/>
              <w:jc w:val="center"/>
              <w:rPr>
                <w:rFonts w:cs="Times New Roman"/>
              </w:rPr>
            </w:pPr>
            <w:r w:rsidRPr="00CF0DF4">
              <w:rPr>
                <w:rFonts w:cs="Times New Roman"/>
              </w:rPr>
              <w:t>26</w:t>
            </w:r>
          </w:p>
        </w:tc>
        <w:tc>
          <w:tcPr>
            <w:tcW w:w="1716" w:type="dxa"/>
            <w:tcBorders>
              <w:top w:val="nil"/>
              <w:left w:val="dotted" w:sz="4" w:space="0" w:color="auto"/>
              <w:bottom w:val="nil"/>
              <w:right w:val="nil"/>
            </w:tcBorders>
            <w:shd w:val="clear" w:color="auto" w:fill="FFFFFF" w:themeFill="background1"/>
            <w:vAlign w:val="center"/>
            <w:hideMark/>
          </w:tcPr>
          <w:p w14:paraId="697E40B3" w14:textId="77777777" w:rsidR="00B14FAE" w:rsidRPr="00CF0DF4" w:rsidRDefault="00B14FAE" w:rsidP="007C6889">
            <w:pPr>
              <w:pStyle w:val="Body-Table"/>
              <w:jc w:val="center"/>
              <w:rPr>
                <w:rFonts w:cs="Times New Roman"/>
              </w:rPr>
            </w:pPr>
            <w:r w:rsidRPr="00CF0DF4">
              <w:rPr>
                <w:rFonts w:cs="Times New Roman"/>
              </w:rPr>
              <w:t>1200-1400</w:t>
            </w:r>
          </w:p>
        </w:tc>
        <w:tc>
          <w:tcPr>
            <w:tcW w:w="1475" w:type="dxa"/>
            <w:tcBorders>
              <w:top w:val="nil"/>
              <w:left w:val="nil"/>
              <w:bottom w:val="nil"/>
              <w:right w:val="nil"/>
            </w:tcBorders>
            <w:shd w:val="clear" w:color="auto" w:fill="FFFFFF" w:themeFill="background1"/>
            <w:vAlign w:val="center"/>
            <w:hideMark/>
          </w:tcPr>
          <w:p w14:paraId="2B84F9B8" w14:textId="77777777" w:rsidR="00B14FAE" w:rsidRPr="00CF0DF4" w:rsidRDefault="00B14FAE" w:rsidP="007C6889">
            <w:pPr>
              <w:pStyle w:val="Body-Table"/>
              <w:jc w:val="center"/>
              <w:rPr>
                <w:rFonts w:cs="Times New Roman"/>
              </w:rPr>
            </w:pPr>
            <w:r w:rsidRPr="00CF0DF4">
              <w:rPr>
                <w:rFonts w:cs="Times New Roman"/>
              </w:rPr>
              <w:t>1300</w:t>
            </w:r>
          </w:p>
        </w:tc>
        <w:tc>
          <w:tcPr>
            <w:tcW w:w="1135" w:type="dxa"/>
            <w:tcBorders>
              <w:top w:val="nil"/>
              <w:left w:val="nil"/>
              <w:bottom w:val="nil"/>
              <w:right w:val="dotted" w:sz="4" w:space="0" w:color="auto"/>
            </w:tcBorders>
            <w:shd w:val="clear" w:color="auto" w:fill="FFFFFF" w:themeFill="background1"/>
            <w:vAlign w:val="center"/>
            <w:hideMark/>
          </w:tcPr>
          <w:p w14:paraId="276CCC2E"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13E1CD5E" w14:textId="77777777" w:rsidR="00B14FAE" w:rsidRPr="00CF0DF4" w:rsidRDefault="00B14FAE" w:rsidP="007C6889">
            <w:pPr>
              <w:pStyle w:val="Body-Table"/>
              <w:jc w:val="center"/>
              <w:rPr>
                <w:rFonts w:cs="Times New Roman"/>
              </w:rPr>
            </w:pPr>
            <w:r w:rsidRPr="00CF0DF4">
              <w:rPr>
                <w:rFonts w:cs="Times New Roman"/>
              </w:rPr>
              <w:t>18000-20000</w:t>
            </w:r>
          </w:p>
        </w:tc>
        <w:tc>
          <w:tcPr>
            <w:tcW w:w="1475" w:type="dxa"/>
            <w:tcBorders>
              <w:top w:val="nil"/>
              <w:left w:val="nil"/>
              <w:bottom w:val="nil"/>
              <w:right w:val="nil"/>
            </w:tcBorders>
            <w:shd w:val="clear" w:color="auto" w:fill="FFFFFF" w:themeFill="background1"/>
            <w:vAlign w:val="center"/>
            <w:hideMark/>
          </w:tcPr>
          <w:p w14:paraId="58903BA8" w14:textId="77777777" w:rsidR="00B14FAE" w:rsidRPr="00CF0DF4" w:rsidRDefault="00B14FAE" w:rsidP="007C6889">
            <w:pPr>
              <w:pStyle w:val="Body-Table"/>
              <w:jc w:val="center"/>
              <w:rPr>
                <w:rFonts w:cs="Times New Roman"/>
              </w:rPr>
            </w:pPr>
            <w:r w:rsidRPr="00CF0DF4">
              <w:rPr>
                <w:rFonts w:cs="Times New Roman"/>
              </w:rPr>
              <w:t>19000</w:t>
            </w:r>
          </w:p>
        </w:tc>
        <w:tc>
          <w:tcPr>
            <w:tcW w:w="1135" w:type="dxa"/>
            <w:tcBorders>
              <w:top w:val="nil"/>
              <w:left w:val="nil"/>
              <w:bottom w:val="nil"/>
              <w:right w:val="single" w:sz="8" w:space="0" w:color="auto"/>
            </w:tcBorders>
            <w:shd w:val="clear" w:color="auto" w:fill="FFFFFF" w:themeFill="background1"/>
            <w:vAlign w:val="center"/>
            <w:hideMark/>
          </w:tcPr>
          <w:p w14:paraId="304D71D3"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4F781898"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7C3265DD" w14:textId="77777777" w:rsidR="00B14FAE" w:rsidRPr="00CF0DF4" w:rsidRDefault="00B14FAE" w:rsidP="007C6889">
            <w:pPr>
              <w:pStyle w:val="Body-Table"/>
              <w:jc w:val="center"/>
              <w:rPr>
                <w:rFonts w:cs="Times New Roman"/>
              </w:rPr>
            </w:pPr>
            <w:r w:rsidRPr="00CF0DF4">
              <w:rPr>
                <w:rFonts w:cs="Times New Roman"/>
              </w:rPr>
              <w:t>27</w:t>
            </w:r>
          </w:p>
        </w:tc>
        <w:tc>
          <w:tcPr>
            <w:tcW w:w="1716" w:type="dxa"/>
            <w:tcBorders>
              <w:top w:val="nil"/>
              <w:left w:val="dotted" w:sz="4" w:space="0" w:color="auto"/>
              <w:bottom w:val="nil"/>
              <w:right w:val="nil"/>
            </w:tcBorders>
            <w:shd w:val="clear" w:color="auto" w:fill="FFFFFF" w:themeFill="background1"/>
            <w:vAlign w:val="center"/>
            <w:hideMark/>
          </w:tcPr>
          <w:p w14:paraId="347AD602" w14:textId="77777777" w:rsidR="00B14FAE" w:rsidRPr="00CF0DF4" w:rsidRDefault="00B14FAE" w:rsidP="007C6889">
            <w:pPr>
              <w:pStyle w:val="Body-Table"/>
              <w:jc w:val="center"/>
              <w:rPr>
                <w:rFonts w:cs="Times New Roman"/>
              </w:rPr>
            </w:pPr>
            <w:r w:rsidRPr="00CF0DF4">
              <w:rPr>
                <w:rFonts w:cs="Times New Roman"/>
              </w:rPr>
              <w:t>1400-1600</w:t>
            </w:r>
          </w:p>
        </w:tc>
        <w:tc>
          <w:tcPr>
            <w:tcW w:w="1475" w:type="dxa"/>
            <w:tcBorders>
              <w:top w:val="nil"/>
              <w:left w:val="nil"/>
              <w:bottom w:val="nil"/>
              <w:right w:val="nil"/>
            </w:tcBorders>
            <w:shd w:val="clear" w:color="auto" w:fill="FFFFFF" w:themeFill="background1"/>
            <w:vAlign w:val="center"/>
            <w:hideMark/>
          </w:tcPr>
          <w:p w14:paraId="6770D4FA" w14:textId="77777777" w:rsidR="00B14FAE" w:rsidRPr="00CF0DF4" w:rsidRDefault="00B14FAE" w:rsidP="007C6889">
            <w:pPr>
              <w:pStyle w:val="Body-Table"/>
              <w:jc w:val="center"/>
              <w:rPr>
                <w:rFonts w:cs="Times New Roman"/>
              </w:rPr>
            </w:pPr>
            <w:r w:rsidRPr="00CF0DF4">
              <w:rPr>
                <w:rFonts w:cs="Times New Roman"/>
              </w:rPr>
              <w:t>1500</w:t>
            </w:r>
          </w:p>
        </w:tc>
        <w:tc>
          <w:tcPr>
            <w:tcW w:w="1135" w:type="dxa"/>
            <w:tcBorders>
              <w:top w:val="nil"/>
              <w:left w:val="nil"/>
              <w:bottom w:val="nil"/>
              <w:right w:val="dotted" w:sz="4" w:space="0" w:color="auto"/>
            </w:tcBorders>
            <w:shd w:val="clear" w:color="auto" w:fill="FFFFFF" w:themeFill="background1"/>
            <w:vAlign w:val="center"/>
            <w:hideMark/>
          </w:tcPr>
          <w:p w14:paraId="6EA77B3F"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2A300677" w14:textId="77777777" w:rsidR="00B14FAE" w:rsidRPr="00CF0DF4" w:rsidRDefault="00B14FAE" w:rsidP="007C6889">
            <w:pPr>
              <w:pStyle w:val="Body-Table"/>
              <w:jc w:val="center"/>
              <w:rPr>
                <w:rFonts w:cs="Times New Roman"/>
              </w:rPr>
            </w:pPr>
            <w:r w:rsidRPr="00CF0DF4">
              <w:rPr>
                <w:rFonts w:cs="Times New Roman"/>
              </w:rPr>
              <w:t>20000-25000</w:t>
            </w:r>
          </w:p>
        </w:tc>
        <w:tc>
          <w:tcPr>
            <w:tcW w:w="1475" w:type="dxa"/>
            <w:tcBorders>
              <w:top w:val="nil"/>
              <w:left w:val="nil"/>
              <w:bottom w:val="nil"/>
              <w:right w:val="nil"/>
            </w:tcBorders>
            <w:shd w:val="clear" w:color="auto" w:fill="FFFFFF" w:themeFill="background1"/>
            <w:vAlign w:val="center"/>
            <w:hideMark/>
          </w:tcPr>
          <w:p w14:paraId="0F74D056" w14:textId="77777777" w:rsidR="00B14FAE" w:rsidRPr="00CF0DF4" w:rsidRDefault="00B14FAE" w:rsidP="007C6889">
            <w:pPr>
              <w:pStyle w:val="Body-Table"/>
              <w:jc w:val="center"/>
              <w:rPr>
                <w:rFonts w:cs="Times New Roman"/>
              </w:rPr>
            </w:pPr>
            <w:r w:rsidRPr="00CF0DF4">
              <w:rPr>
                <w:rFonts w:cs="Times New Roman"/>
              </w:rPr>
              <w:t>22500</w:t>
            </w:r>
          </w:p>
        </w:tc>
        <w:tc>
          <w:tcPr>
            <w:tcW w:w="1135" w:type="dxa"/>
            <w:tcBorders>
              <w:top w:val="nil"/>
              <w:left w:val="nil"/>
              <w:bottom w:val="nil"/>
              <w:right w:val="single" w:sz="8" w:space="0" w:color="auto"/>
            </w:tcBorders>
            <w:shd w:val="clear" w:color="auto" w:fill="FFFFFF" w:themeFill="background1"/>
            <w:vAlign w:val="center"/>
            <w:hideMark/>
          </w:tcPr>
          <w:p w14:paraId="0F692333" w14:textId="77777777" w:rsidR="00B14FAE" w:rsidRPr="00CF0DF4" w:rsidRDefault="00B14FAE" w:rsidP="007C6889">
            <w:pPr>
              <w:pStyle w:val="Body-Table"/>
              <w:jc w:val="center"/>
              <w:rPr>
                <w:rFonts w:cs="Times New Roman"/>
              </w:rPr>
            </w:pPr>
            <w:r w:rsidRPr="00CF0DF4">
              <w:rPr>
                <w:rFonts w:cs="Times New Roman"/>
              </w:rPr>
              <w:t>5000</w:t>
            </w:r>
          </w:p>
        </w:tc>
      </w:tr>
      <w:tr w:rsidR="00B14FAE" w:rsidRPr="00CF0DF4" w14:paraId="3A00F22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4D545A7B" w14:textId="77777777" w:rsidR="00B14FAE" w:rsidRPr="00CF0DF4" w:rsidRDefault="00B14FAE" w:rsidP="007C6889">
            <w:pPr>
              <w:pStyle w:val="Body-Table"/>
              <w:jc w:val="center"/>
              <w:rPr>
                <w:rFonts w:cs="Times New Roman"/>
              </w:rPr>
            </w:pPr>
            <w:r w:rsidRPr="00CF0DF4">
              <w:rPr>
                <w:rFonts w:cs="Times New Roman"/>
              </w:rPr>
              <w:t>28</w:t>
            </w:r>
          </w:p>
        </w:tc>
        <w:tc>
          <w:tcPr>
            <w:tcW w:w="1716" w:type="dxa"/>
            <w:tcBorders>
              <w:top w:val="nil"/>
              <w:left w:val="dotted" w:sz="4" w:space="0" w:color="auto"/>
              <w:bottom w:val="nil"/>
              <w:right w:val="nil"/>
            </w:tcBorders>
            <w:shd w:val="clear" w:color="auto" w:fill="FFFFFF" w:themeFill="background1"/>
            <w:vAlign w:val="center"/>
            <w:hideMark/>
          </w:tcPr>
          <w:p w14:paraId="382003AA" w14:textId="77777777" w:rsidR="00B14FAE" w:rsidRPr="00CF0DF4" w:rsidRDefault="00B14FAE" w:rsidP="007C6889">
            <w:pPr>
              <w:pStyle w:val="Body-Table"/>
              <w:jc w:val="center"/>
              <w:rPr>
                <w:rFonts w:cs="Times New Roman"/>
              </w:rPr>
            </w:pPr>
            <w:r w:rsidRPr="00CF0DF4">
              <w:rPr>
                <w:rFonts w:cs="Times New Roman"/>
              </w:rPr>
              <w:t>1600-1800</w:t>
            </w:r>
          </w:p>
        </w:tc>
        <w:tc>
          <w:tcPr>
            <w:tcW w:w="1475" w:type="dxa"/>
            <w:tcBorders>
              <w:top w:val="nil"/>
              <w:left w:val="nil"/>
              <w:bottom w:val="nil"/>
              <w:right w:val="nil"/>
            </w:tcBorders>
            <w:shd w:val="clear" w:color="auto" w:fill="FFFFFF" w:themeFill="background1"/>
            <w:vAlign w:val="center"/>
            <w:hideMark/>
          </w:tcPr>
          <w:p w14:paraId="3F396893" w14:textId="77777777" w:rsidR="00B14FAE" w:rsidRPr="00CF0DF4" w:rsidRDefault="00B14FAE" w:rsidP="007C6889">
            <w:pPr>
              <w:pStyle w:val="Body-Table"/>
              <w:jc w:val="center"/>
              <w:rPr>
                <w:rFonts w:cs="Times New Roman"/>
              </w:rPr>
            </w:pPr>
            <w:r w:rsidRPr="00CF0DF4">
              <w:rPr>
                <w:rFonts w:cs="Times New Roman"/>
              </w:rPr>
              <w:t>1700</w:t>
            </w:r>
          </w:p>
        </w:tc>
        <w:tc>
          <w:tcPr>
            <w:tcW w:w="1135" w:type="dxa"/>
            <w:tcBorders>
              <w:top w:val="nil"/>
              <w:left w:val="nil"/>
              <w:bottom w:val="nil"/>
              <w:right w:val="dotted" w:sz="4" w:space="0" w:color="auto"/>
            </w:tcBorders>
            <w:shd w:val="clear" w:color="auto" w:fill="FFFFFF" w:themeFill="background1"/>
            <w:vAlign w:val="center"/>
            <w:hideMark/>
          </w:tcPr>
          <w:p w14:paraId="186DA4C0"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415608F4" w14:textId="77777777" w:rsidR="00B14FAE" w:rsidRPr="00CF0DF4" w:rsidRDefault="00B14FAE" w:rsidP="007C6889">
            <w:pPr>
              <w:pStyle w:val="Body-Table"/>
              <w:jc w:val="center"/>
              <w:rPr>
                <w:rFonts w:cs="Times New Roman"/>
              </w:rPr>
            </w:pPr>
            <w:r w:rsidRPr="00CF0DF4">
              <w:rPr>
                <w:rFonts w:cs="Times New Roman"/>
              </w:rPr>
              <w:t>25000-30000</w:t>
            </w:r>
          </w:p>
        </w:tc>
        <w:tc>
          <w:tcPr>
            <w:tcW w:w="1475" w:type="dxa"/>
            <w:tcBorders>
              <w:top w:val="nil"/>
              <w:left w:val="nil"/>
              <w:bottom w:val="nil"/>
              <w:right w:val="nil"/>
            </w:tcBorders>
            <w:shd w:val="clear" w:color="auto" w:fill="FFFFFF" w:themeFill="background1"/>
            <w:vAlign w:val="center"/>
            <w:hideMark/>
          </w:tcPr>
          <w:p w14:paraId="1CA2631E" w14:textId="77777777" w:rsidR="00B14FAE" w:rsidRPr="00CF0DF4" w:rsidRDefault="00B14FAE" w:rsidP="007C6889">
            <w:pPr>
              <w:pStyle w:val="Body-Table"/>
              <w:jc w:val="center"/>
              <w:rPr>
                <w:rFonts w:cs="Times New Roman"/>
              </w:rPr>
            </w:pPr>
            <w:r w:rsidRPr="00CF0DF4">
              <w:rPr>
                <w:rFonts w:cs="Times New Roman"/>
              </w:rPr>
              <w:t>27500</w:t>
            </w:r>
          </w:p>
        </w:tc>
        <w:tc>
          <w:tcPr>
            <w:tcW w:w="1135" w:type="dxa"/>
            <w:tcBorders>
              <w:top w:val="nil"/>
              <w:left w:val="nil"/>
              <w:bottom w:val="nil"/>
              <w:right w:val="single" w:sz="8" w:space="0" w:color="auto"/>
            </w:tcBorders>
            <w:shd w:val="clear" w:color="auto" w:fill="FFFFFF" w:themeFill="background1"/>
            <w:vAlign w:val="center"/>
            <w:hideMark/>
          </w:tcPr>
          <w:p w14:paraId="1CC12DA6" w14:textId="77777777" w:rsidR="00B14FAE" w:rsidRPr="00CF0DF4" w:rsidRDefault="00B14FAE" w:rsidP="007C6889">
            <w:pPr>
              <w:pStyle w:val="Body-Table"/>
              <w:jc w:val="center"/>
              <w:rPr>
                <w:rFonts w:cs="Times New Roman"/>
              </w:rPr>
            </w:pPr>
            <w:r w:rsidRPr="00CF0DF4">
              <w:rPr>
                <w:rFonts w:cs="Times New Roman"/>
              </w:rPr>
              <w:t>5000</w:t>
            </w:r>
          </w:p>
        </w:tc>
      </w:tr>
      <w:tr w:rsidR="00B14FAE" w:rsidRPr="00CF0DF4" w14:paraId="709DE36E" w14:textId="77777777" w:rsidTr="6A504B5C">
        <w:trPr>
          <w:cantSplit/>
          <w:trHeight w:val="74"/>
        </w:trPr>
        <w:tc>
          <w:tcPr>
            <w:tcW w:w="708" w:type="dxa"/>
            <w:tcBorders>
              <w:top w:val="nil"/>
              <w:left w:val="single" w:sz="8" w:space="0" w:color="auto"/>
              <w:bottom w:val="single" w:sz="8" w:space="0" w:color="auto"/>
              <w:right w:val="nil"/>
            </w:tcBorders>
            <w:shd w:val="clear" w:color="auto" w:fill="FFFFFF" w:themeFill="background1"/>
            <w:vAlign w:val="center"/>
            <w:hideMark/>
          </w:tcPr>
          <w:p w14:paraId="51577D04" w14:textId="77777777" w:rsidR="00B14FAE" w:rsidRPr="00CF0DF4" w:rsidRDefault="00B14FAE" w:rsidP="007C6889">
            <w:pPr>
              <w:pStyle w:val="Body-Table"/>
              <w:jc w:val="center"/>
              <w:rPr>
                <w:rFonts w:cs="Times New Roman"/>
              </w:rPr>
            </w:pPr>
            <w:r w:rsidRPr="00CF0DF4">
              <w:rPr>
                <w:rFonts w:cs="Times New Roman"/>
              </w:rPr>
              <w:t>29</w:t>
            </w:r>
          </w:p>
        </w:tc>
        <w:tc>
          <w:tcPr>
            <w:tcW w:w="1716" w:type="dxa"/>
            <w:tcBorders>
              <w:top w:val="nil"/>
              <w:left w:val="dotted" w:sz="4" w:space="0" w:color="auto"/>
              <w:bottom w:val="single" w:sz="8" w:space="0" w:color="auto"/>
              <w:right w:val="nil"/>
            </w:tcBorders>
            <w:shd w:val="clear" w:color="auto" w:fill="FFFFFF" w:themeFill="background1"/>
            <w:vAlign w:val="center"/>
            <w:hideMark/>
          </w:tcPr>
          <w:p w14:paraId="2463E609" w14:textId="77777777" w:rsidR="00B14FAE" w:rsidRPr="00CF0DF4" w:rsidRDefault="00B14FAE" w:rsidP="007C6889">
            <w:pPr>
              <w:pStyle w:val="Body-Table"/>
              <w:jc w:val="center"/>
              <w:rPr>
                <w:rFonts w:cs="Times New Roman"/>
              </w:rPr>
            </w:pPr>
            <w:r w:rsidRPr="00CF0DF4">
              <w:rPr>
                <w:rFonts w:cs="Times New Roman"/>
              </w:rPr>
              <w:t>1800-2000</w:t>
            </w:r>
          </w:p>
        </w:tc>
        <w:tc>
          <w:tcPr>
            <w:tcW w:w="1475" w:type="dxa"/>
            <w:tcBorders>
              <w:top w:val="nil"/>
              <w:left w:val="nil"/>
              <w:bottom w:val="single" w:sz="8" w:space="0" w:color="auto"/>
              <w:right w:val="nil"/>
            </w:tcBorders>
            <w:shd w:val="clear" w:color="auto" w:fill="FFFFFF" w:themeFill="background1"/>
            <w:vAlign w:val="center"/>
            <w:hideMark/>
          </w:tcPr>
          <w:p w14:paraId="277CAA1B" w14:textId="77777777" w:rsidR="00B14FAE" w:rsidRPr="00CF0DF4" w:rsidRDefault="00B14FAE" w:rsidP="007C6889">
            <w:pPr>
              <w:pStyle w:val="Body-Table"/>
              <w:jc w:val="center"/>
              <w:rPr>
                <w:rFonts w:cs="Times New Roman"/>
              </w:rPr>
            </w:pPr>
            <w:r w:rsidRPr="00CF0DF4">
              <w:rPr>
                <w:rFonts w:cs="Times New Roman"/>
              </w:rPr>
              <w:t>1900</w:t>
            </w:r>
          </w:p>
        </w:tc>
        <w:tc>
          <w:tcPr>
            <w:tcW w:w="1135" w:type="dxa"/>
            <w:tcBorders>
              <w:top w:val="nil"/>
              <w:left w:val="nil"/>
              <w:bottom w:val="single" w:sz="8" w:space="0" w:color="auto"/>
              <w:right w:val="dotted" w:sz="4" w:space="0" w:color="auto"/>
            </w:tcBorders>
            <w:shd w:val="clear" w:color="auto" w:fill="FFFFFF" w:themeFill="background1"/>
            <w:vAlign w:val="center"/>
            <w:hideMark/>
          </w:tcPr>
          <w:p w14:paraId="7496A88B"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single" w:sz="8" w:space="0" w:color="auto"/>
              <w:right w:val="nil"/>
            </w:tcBorders>
            <w:shd w:val="clear" w:color="auto" w:fill="FFFFFF" w:themeFill="background1"/>
            <w:vAlign w:val="center"/>
            <w:hideMark/>
          </w:tcPr>
          <w:p w14:paraId="52CCDB6C" w14:textId="77777777" w:rsidR="00B14FAE" w:rsidRPr="00CF0DF4" w:rsidRDefault="00B14FAE" w:rsidP="007C6889">
            <w:pPr>
              <w:pStyle w:val="Body-Table"/>
              <w:jc w:val="center"/>
              <w:rPr>
                <w:rFonts w:cs="Times New Roman"/>
              </w:rPr>
            </w:pPr>
          </w:p>
        </w:tc>
        <w:tc>
          <w:tcPr>
            <w:tcW w:w="1475" w:type="dxa"/>
            <w:tcBorders>
              <w:top w:val="nil"/>
              <w:left w:val="nil"/>
              <w:bottom w:val="single" w:sz="8" w:space="0" w:color="auto"/>
              <w:right w:val="nil"/>
            </w:tcBorders>
            <w:shd w:val="clear" w:color="auto" w:fill="FFFFFF" w:themeFill="background1"/>
            <w:vAlign w:val="center"/>
            <w:hideMark/>
          </w:tcPr>
          <w:p w14:paraId="180AB30D" w14:textId="77777777" w:rsidR="00B14FAE" w:rsidRPr="00CF0DF4" w:rsidRDefault="00B14FAE" w:rsidP="007C6889">
            <w:pPr>
              <w:pStyle w:val="Body-Table"/>
              <w:jc w:val="center"/>
              <w:rPr>
                <w:rFonts w:cs="Times New Roman"/>
              </w:rPr>
            </w:pPr>
          </w:p>
        </w:tc>
        <w:tc>
          <w:tcPr>
            <w:tcW w:w="1135" w:type="dxa"/>
            <w:tcBorders>
              <w:top w:val="nil"/>
              <w:left w:val="nil"/>
              <w:bottom w:val="single" w:sz="8" w:space="0" w:color="auto"/>
              <w:right w:val="single" w:sz="8" w:space="0" w:color="auto"/>
            </w:tcBorders>
            <w:shd w:val="clear" w:color="auto" w:fill="FFFFFF" w:themeFill="background1"/>
            <w:vAlign w:val="center"/>
            <w:hideMark/>
          </w:tcPr>
          <w:p w14:paraId="6D83B404" w14:textId="77777777" w:rsidR="00B14FAE" w:rsidRPr="00CF0DF4" w:rsidRDefault="00B14FAE" w:rsidP="007C6889">
            <w:pPr>
              <w:pStyle w:val="Body-Table"/>
              <w:jc w:val="center"/>
              <w:rPr>
                <w:rFonts w:cs="Times New Roman"/>
              </w:rPr>
            </w:pPr>
          </w:p>
        </w:tc>
      </w:tr>
    </w:tbl>
    <w:p w14:paraId="2E50C353" w14:textId="44128F64" w:rsidR="00360557" w:rsidRPr="00CF0DF4" w:rsidRDefault="00360557" w:rsidP="00360557">
      <w:pPr>
        <w:pStyle w:val="Body"/>
        <w:rPr>
          <w:lang w:val="en-US"/>
        </w:rPr>
      </w:pPr>
      <w:r w:rsidRPr="00CF0DF4">
        <w:rPr>
          <w:lang w:val="en-US"/>
        </w:rPr>
        <w:t xml:space="preserve">To measure </w:t>
      </w:r>
      <w:r>
        <w:rPr>
          <w:lang w:val="en-US"/>
        </w:rPr>
        <w:t>hydrometeor</w:t>
      </w:r>
      <w:r w:rsidRPr="00CF0DF4">
        <w:rPr>
          <w:lang w:val="en-US"/>
        </w:rPr>
        <w:t xml:space="preserve"> size, the “</w:t>
      </w:r>
      <w:proofErr w:type="spellStart"/>
      <w:r w:rsidRPr="00CF0DF4">
        <w:rPr>
          <w:lang w:val="en-US"/>
        </w:rPr>
        <w:t>fastcircle</w:t>
      </w:r>
      <w:proofErr w:type="spellEnd"/>
      <w:r w:rsidRPr="00CF0DF4">
        <w:rPr>
          <w:lang w:val="en-US"/>
        </w:rPr>
        <w:t xml:space="preserve">” method fits the smallest possible circle around a </w:t>
      </w:r>
      <w:r>
        <w:rPr>
          <w:lang w:val="en-US"/>
        </w:rPr>
        <w:t>hydrometeor</w:t>
      </w:r>
      <w:r w:rsidRPr="00CF0DF4">
        <w:rPr>
          <w:lang w:val="en-US"/>
        </w:rPr>
        <w:t xml:space="preserve"> image and uses the circle diameter as the </w:t>
      </w:r>
      <w:r>
        <w:rPr>
          <w:lang w:val="en-US"/>
        </w:rPr>
        <w:t>hydrometeor</w:t>
      </w:r>
      <w:r w:rsidRPr="00CF0DF4">
        <w:rPr>
          <w:lang w:val="en-US"/>
        </w:rPr>
        <w:t xml:space="preserve"> diameter. The </w:t>
      </w:r>
      <w:r>
        <w:rPr>
          <w:lang w:val="en-US"/>
        </w:rPr>
        <w:t>measured hydrometeor</w:t>
      </w:r>
      <w:r w:rsidRPr="00CF0DF4">
        <w:rPr>
          <w:lang w:val="en-US"/>
        </w:rPr>
        <w:t xml:space="preserve"> area </w:t>
      </w:r>
      <w:r w:rsidR="002B11C6">
        <w:rPr>
          <w:lang w:val="en-US"/>
        </w:rPr>
        <w:t>divided</w:t>
      </w:r>
      <w:r>
        <w:rPr>
          <w:lang w:val="en-US"/>
        </w:rPr>
        <w:t xml:space="preserve"> by</w:t>
      </w:r>
      <w:r w:rsidRPr="00CF0DF4">
        <w:rPr>
          <w:lang w:val="en-US"/>
        </w:rPr>
        <w:t xml:space="preserve"> the fast circle area is the area ratio, which gives an indication of the roundness of </w:t>
      </w:r>
      <w:r>
        <w:rPr>
          <w:lang w:val="en-US"/>
        </w:rPr>
        <w:t>hydrometeors</w:t>
      </w:r>
      <w:r w:rsidRPr="00CF0DF4">
        <w:rPr>
          <w:lang w:val="en-US"/>
        </w:rPr>
        <w:t xml:space="preserve">. Frozen </w:t>
      </w:r>
      <w:r>
        <w:rPr>
          <w:lang w:val="en-US"/>
        </w:rPr>
        <w:t>hydrometeors</w:t>
      </w:r>
      <w:r w:rsidRPr="00CF0DF4">
        <w:rPr>
          <w:lang w:val="en-US"/>
        </w:rPr>
        <w:t xml:space="preserve"> are typically not round and have a low area ratio, while raindrops have a high area ratio. A perfect sphere would have an area ratio of 1.0; however, </w:t>
      </w:r>
      <w:r w:rsidRPr="00CF0DF4">
        <w:rPr>
          <w:lang w:val="en-US"/>
        </w:rPr>
        <w:lastRenderedPageBreak/>
        <w:t xml:space="preserve">raindrops typically have an area ratio of 0.8 due to image stretching </w:t>
      </w:r>
      <w:r w:rsidRPr="00CF0DF4">
        <w:rPr>
          <w:lang w:val="en-US"/>
        </w:rPr>
        <w:fldChar w:fldCharType="begin"/>
      </w:r>
      <w:r w:rsidRPr="00CF0DF4">
        <w:rPr>
          <w:lang w:val="en-US"/>
        </w:rPr>
        <w:instrText xml:space="preserve"> ADDIN ZOTERO_ITEM CSL_CITATION {"citationID":"WwpGdowv","properties":{"formattedCitation":"(Heymsfield et al. 2015)","plainCitation":"(Heymsfield et al. 2015)","noteIndex":0},"citationItems":[{"id":28,"uris":["http://zotero.org/users/8639581/items/UCZRTHEJ"],"itemData":{"id":28,"type":"article-journal","abstract":"Abstract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The area ratio of a </w:t>
      </w:r>
      <w:r>
        <w:rPr>
          <w:lang w:val="en-US"/>
        </w:rPr>
        <w:t>hydrometeor</w:t>
      </w:r>
      <w:r w:rsidRPr="00CF0DF4">
        <w:rPr>
          <w:lang w:val="en-US"/>
        </w:rPr>
        <w:t xml:space="preserve"> depends</w:t>
      </w:r>
      <w:r>
        <w:rPr>
          <w:lang w:val="en-US"/>
        </w:rPr>
        <w:t xml:space="preserve"> in part</w:t>
      </w:r>
      <w:r w:rsidRPr="00CF0DF4">
        <w:rPr>
          <w:lang w:val="en-US"/>
        </w:rPr>
        <w:t xml:space="preserve"> on the resolution of the image. For spherical </w:t>
      </w:r>
      <w:r>
        <w:rPr>
          <w:lang w:val="en-US"/>
        </w:rPr>
        <w:t>hydrometeors</w:t>
      </w:r>
      <w:r w:rsidRPr="00CF0DF4">
        <w:rPr>
          <w:lang w:val="en-US"/>
        </w:rPr>
        <w:t xml:space="preserve">, a </w:t>
      </w:r>
      <w:proofErr w:type="gramStart"/>
      <w:r w:rsidRPr="00CF0DF4">
        <w:rPr>
          <w:lang w:val="en-US"/>
        </w:rPr>
        <w:t>high resolution</w:t>
      </w:r>
      <w:proofErr w:type="gramEnd"/>
      <w:r w:rsidRPr="00CF0DF4">
        <w:rPr>
          <w:lang w:val="en-US"/>
        </w:rPr>
        <w:t xml:space="preserve"> probe has a larger area ratio than a low resolution probe due to more pixels that more closely matches a perfect circle (</w:t>
      </w:r>
      <w:r w:rsidRPr="00CF0DF4">
        <w:rPr>
          <w:lang w:val="en-US"/>
        </w:rPr>
        <w:fldChar w:fldCharType="begin"/>
      </w:r>
      <w:r w:rsidRPr="00CF0DF4">
        <w:rPr>
          <w:lang w:val="en-US"/>
        </w:rPr>
        <w:instrText xml:space="preserve"> REF _Ref106361474 \h </w:instrText>
      </w:r>
      <w:r w:rsidRPr="00CF0DF4">
        <w:rPr>
          <w:lang w:val="en-US"/>
        </w:rPr>
      </w:r>
      <w:r w:rsidRPr="00CF0DF4">
        <w:rPr>
          <w:lang w:val="en-US"/>
        </w:rPr>
        <w:fldChar w:fldCharType="separate"/>
      </w:r>
      <w:r w:rsidR="00DB4BE3" w:rsidRPr="00CF0DF4">
        <w:t xml:space="preserve">Figure </w:t>
      </w:r>
      <w:r w:rsidR="00DB4BE3">
        <w:rPr>
          <w:noProof/>
        </w:rPr>
        <w:t>2</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REF _Ref106361851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3</w:t>
      </w:r>
      <w:r w:rsidRPr="00CF0DF4">
        <w:rPr>
          <w:lang w:val="en-US"/>
        </w:rPr>
        <w:fldChar w:fldCharType="end"/>
      </w:r>
      <w:r w:rsidRPr="00CF0DF4">
        <w:rPr>
          <w:lang w:val="en-US"/>
        </w:rPr>
        <w:t>). The area ratio is also impacted by variations in the imaged area and fast circle area due to the portion of the pixel that is shadowed (</w:t>
      </w:r>
      <w:r w:rsidRPr="00CF0DF4">
        <w:rPr>
          <w:lang w:val="en-US"/>
        </w:rPr>
        <w:fldChar w:fldCharType="begin"/>
      </w:r>
      <w:r w:rsidRPr="00CF0DF4">
        <w:rPr>
          <w:lang w:val="en-US"/>
        </w:rPr>
        <w:instrText xml:space="preserve"> REF _Ref106361474 \h </w:instrText>
      </w:r>
      <w:r w:rsidRPr="00CF0DF4">
        <w:rPr>
          <w:lang w:val="en-US"/>
        </w:rPr>
      </w:r>
      <w:r w:rsidRPr="00CF0DF4">
        <w:rPr>
          <w:lang w:val="en-US"/>
        </w:rPr>
        <w:fldChar w:fldCharType="separate"/>
      </w:r>
      <w:r w:rsidR="00DB4BE3" w:rsidRPr="00CF0DF4">
        <w:t xml:space="preserve">Figure </w:t>
      </w:r>
      <w:r w:rsidR="00DB4BE3">
        <w:rPr>
          <w:noProof/>
        </w:rPr>
        <w:t>2</w:t>
      </w:r>
      <w:r w:rsidRPr="00CF0DF4">
        <w:rPr>
          <w:lang w:val="en-US"/>
        </w:rPr>
        <w:fldChar w:fldCharType="end"/>
      </w:r>
      <w:r w:rsidRPr="00CF0DF4">
        <w:rPr>
          <w:lang w:val="en-US"/>
        </w:rPr>
        <w:t xml:space="preserve">). For the pixel to be counted as part of the </w:t>
      </w:r>
      <w:r>
        <w:rPr>
          <w:lang w:val="en-US"/>
        </w:rPr>
        <w:t>hydrometeor</w:t>
      </w:r>
      <w:r w:rsidRPr="00CF0DF4">
        <w:rPr>
          <w:lang w:val="en-US"/>
        </w:rPr>
        <w:t xml:space="preserve"> image, the shadow depth must be 50 percent or greater in the pixel </w:t>
      </w:r>
      <w:r w:rsidRPr="00CF0DF4">
        <w:rPr>
          <w:lang w:val="en-US"/>
        </w:rPr>
        <w:fldChar w:fldCharType="begin"/>
      </w:r>
      <w:r w:rsidRPr="00CF0DF4">
        <w:rPr>
          <w:lang w:val="en-US"/>
        </w:rPr>
        <w:instrText xml:space="preserve"> ADDIN ZOTERO_ITEM CSL_CITATION {"citationID":"haJ5H1F7","properties":{"formattedCitation":"(Lawson et al. 2006)","plainCitation":"(Lawson et al. 2006)","noteIndex":0},"citationItems":[{"id":334,"uris":["http://zotero.org/groups/4663654/items/ICWM97H5"],"itemData":{"id":334,"type":"article-journal","abstract":"Abstract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Pr="00CF0DF4">
        <w:rPr>
          <w:rFonts w:ascii="Cambria Math" w:hAnsi="Cambria Math" w:cs="Cambria Math"/>
          <w:lang w:val="en-US"/>
        </w:rPr>
        <w:instrText>∼</w:instrText>
      </w:r>
      <w:r w:rsidRPr="00CF0DF4">
        <w:rPr>
          <w:lang w:val="en-US"/>
        </w:rPr>
        <w:instrText xml:space="preserve">100 </w:instrText>
      </w:r>
      <w:r w:rsidRPr="00CF0DF4">
        <w:rPr>
          <w:rFonts w:cs="Times New Roman"/>
          <w:lang w:val="en-US"/>
        </w:rPr>
        <w:instrText>μ</w:instrText>
      </w:r>
      <w:r w:rsidRPr="00CF0DF4">
        <w:rPr>
          <w:lang w:val="en-US"/>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 xml:space="preserve">m when the 2D-C and 260X probes see few or none. The data suggest that particle images and size distributions ranging from 25 to </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m and collected at airspeeds &gt;100 m s</w:instrText>
      </w:r>
      <w:r w:rsidRPr="00CF0DF4">
        <w:rPr>
          <w:rFonts w:cs="Times New Roman"/>
          <w:lang w:val="en-US"/>
        </w:rPr>
        <w:instrText>−</w:instrText>
      </w:r>
      <w:r w:rsidRPr="00CF0DF4">
        <w:rPr>
          <w:lang w:val="en-US"/>
        </w:rPr>
        <w:instrText xml:space="preserve">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Pr="00CF0DF4">
        <w:rPr>
          <w:lang w:val="en-US"/>
        </w:rPr>
        <w:fldChar w:fldCharType="separate"/>
      </w:r>
      <w:r w:rsidRPr="00CF0DF4">
        <w:rPr>
          <w:rFonts w:cs="Times New Roman"/>
          <w:lang w:val="en-US"/>
        </w:rPr>
        <w:t>(Lawson et al. 2006)</w:t>
      </w:r>
      <w:r w:rsidRPr="00CF0DF4">
        <w:rPr>
          <w:lang w:val="en-US"/>
        </w:rPr>
        <w:fldChar w:fldCharType="end"/>
      </w:r>
      <w:r w:rsidRPr="00CF0DF4">
        <w:rPr>
          <w:lang w:val="en-US"/>
        </w:rPr>
        <w:t xml:space="preserve">. Thus, to determine which pixels are counted, the </w:t>
      </w:r>
      <w:r>
        <w:rPr>
          <w:lang w:val="en-US"/>
        </w:rPr>
        <w:t>hydrometeor</w:t>
      </w:r>
      <w:r w:rsidRPr="00CF0DF4">
        <w:rPr>
          <w:lang w:val="en-US"/>
        </w:rPr>
        <w:t xml:space="preserve"> image is enclosed with the smallest circle that fully includes all pixels and any pixel with greater than 50 percent coverage of the circle is counted. </w:t>
      </w:r>
      <w:r>
        <w:rPr>
          <w:lang w:val="en-US"/>
        </w:rPr>
        <w:t>Note that</w:t>
      </w:r>
      <w:r w:rsidRPr="00CF0DF4">
        <w:rPr>
          <w:lang w:val="en-US"/>
        </w:rPr>
        <w:t xml:space="preserve"> variability in the shape of raindrops (e.g., </w:t>
      </w:r>
      <w:r w:rsidRPr="00CF0DF4">
        <w:rPr>
          <w:lang w:val="en-US"/>
        </w:rPr>
        <w:fldChar w:fldCharType="begin"/>
      </w:r>
      <w:r w:rsidRPr="00CF0DF4">
        <w:rPr>
          <w:lang w:val="en-US"/>
        </w:rPr>
        <w:instrText xml:space="preserve"> ADDIN ZOTERO_ITEM CSL_CITATION {"citationID":"WzgZlUYi","properties":{"formattedCitation":"(Gorgucci et al. 2006)","plainCitation":"(Gorgucci et al. 2006)","dontUpdate":true,"noteIndex":0},"citationItems":[{"id":351,"uris":["http://zotero.org/groups/4663654/items/WJUVXTDX"],"itemData":{"id":351,"type":"article-journal","abstract":"Abstract In a previous study, Gorgucci et al. showed the potential advantage of using together polarimetric radar measurements of reflectivity factor, differential reflectivity, and specific differential propagation phase, in order to gather information about the calibration of radar systems. Scarchilli et al. generalized this concept in the self-consistency principle, which stated that, given a drop-shape model to describe the form of raindrops, the corresponding radar measurements are constrained on this three-dimensional surface. In this work the self-consistency principle is collapsed onto a two-dimensional domain defined by the variables: 1) the ratio between specific differential phase and reflectivity factor, and 2) differential reflectivity. In this space the scatter of drop size distribution (DSD) variability is minimized in such a way that drop-shape variability shows up. This methodology is used to observe for the first time the predominant shape of raindrops directly from the radar measurements. The radar polarimetric data were collected in two different climatological regions as central Florida and northern Italy. The significant result shows that the underlying mean axis ratio approaches the model established by Pruppacher and Beard, and the relationship described by Beard and Chuang forms a sort of border for the sphericity of the drop shape.","container-title":"Journal of the Atmospheric Sciences","DOI":"10.1175/JAS3781.1","ISSN":"0022-4928, 1520-0469","issue":"11","language":"EN","note":"publisher: American Meteorological Society\nsection: Journal of the Atmospheric Sciences","page":"3033-3044","source":"journals.ametsoc.org","title":"What Is the Shape of a Raindrop? An Answer from Radar Measurements","title-short":"What Is the Shape of a Raindrop?","volume":"63","author":[{"family":"Gorgucci","given":"Eugenio"},{"family":"Baldini","given":"Luca"},{"family":"Chandrasekar","given":"V."}],"issued":{"date-parts":[["2006",11,1]]}}}],"schema":"https://github.com/citation-style-language/schema/raw/master/csl-citation.json"} </w:instrText>
      </w:r>
      <w:r w:rsidRPr="00CF0DF4">
        <w:rPr>
          <w:lang w:val="en-US"/>
        </w:rPr>
        <w:fldChar w:fldCharType="separate"/>
      </w:r>
      <w:r w:rsidRPr="00CF0DF4">
        <w:rPr>
          <w:rFonts w:cs="Times New Roman"/>
          <w:lang w:val="en-US"/>
        </w:rPr>
        <w:t>Gorgucci et al. 2006)</w:t>
      </w:r>
      <w:r w:rsidRPr="00CF0DF4">
        <w:rPr>
          <w:lang w:val="en-US"/>
        </w:rPr>
        <w:fldChar w:fldCharType="end"/>
      </w:r>
      <w:r w:rsidRPr="00CF0DF4">
        <w:rPr>
          <w:lang w:val="en-US"/>
        </w:rPr>
        <w:t xml:space="preserve"> or offsets in the </w:t>
      </w:r>
      <w:r>
        <w:rPr>
          <w:lang w:val="en-US"/>
        </w:rPr>
        <w:t>hydrometeor</w:t>
      </w:r>
      <w:r w:rsidRPr="00CF0DF4">
        <w:rPr>
          <w:lang w:val="en-US"/>
        </w:rPr>
        <w:t xml:space="preserve"> position may cause variations in which pixels are counted for a round image, especially for lower resolution probes such as the HVPS3.</w:t>
      </w:r>
    </w:p>
    <w:p w14:paraId="4FF29633" w14:textId="2181847D" w:rsidR="003877DF" w:rsidRPr="00CF0DF4" w:rsidRDefault="00F05DFC" w:rsidP="00144F8E">
      <w:pPr>
        <w:pStyle w:val="Figure"/>
        <w:rPr>
          <w:lang w:val="en-US"/>
        </w:rPr>
      </w:pPr>
      <w:r w:rsidRPr="00CF0DF4">
        <w:rPr>
          <w:noProof/>
          <w:lang w:val="en-US" w:eastAsia="en-US" w:bidi="ar-SA"/>
        </w:rPr>
        <w:lastRenderedPageBreak/>
        <w:drawing>
          <wp:inline distT="0" distB="0" distL="0" distR="0" wp14:anchorId="00C46F07" wp14:editId="53943F7C">
            <wp:extent cx="5943600" cy="63093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l="33183" t="19895" r="33171" b="13494"/>
                    <a:stretch/>
                  </pic:blipFill>
                  <pic:spPr bwMode="auto">
                    <a:xfrm>
                      <a:off x="0" y="0"/>
                      <a:ext cx="5943600" cy="6309360"/>
                    </a:xfrm>
                    <a:prstGeom prst="rect">
                      <a:avLst/>
                    </a:prstGeom>
                    <a:ln>
                      <a:noFill/>
                    </a:ln>
                    <a:extLst>
                      <a:ext uri="{53640926-AAD7-44D8-BBD7-CCE9431645EC}">
                        <a14:shadowObscured xmlns:a14="http://schemas.microsoft.com/office/drawing/2010/main"/>
                      </a:ext>
                    </a:extLst>
                  </pic:spPr>
                </pic:pic>
              </a:graphicData>
            </a:graphic>
          </wp:inline>
        </w:drawing>
      </w:r>
    </w:p>
    <w:p w14:paraId="65ECF2BE" w14:textId="7887927B" w:rsidR="008C044E" w:rsidRPr="00CF0DF4" w:rsidRDefault="003877DF" w:rsidP="00027D2D">
      <w:pPr>
        <w:pStyle w:val="Caption-Figure"/>
      </w:pPr>
      <w:bookmarkStart w:id="38" w:name="_Ref106361474"/>
      <w:bookmarkStart w:id="39" w:name="_Toc109123115"/>
      <w:r w:rsidRPr="00CF0DF4">
        <w:t xml:space="preserve">Figure </w:t>
      </w:r>
      <w:r w:rsidRPr="00CF0DF4">
        <w:fldChar w:fldCharType="begin"/>
      </w:r>
      <w:r w:rsidRPr="00CF0DF4">
        <w:instrText>SEQ Figure \* ARABIC</w:instrText>
      </w:r>
      <w:r w:rsidRPr="00CF0DF4">
        <w:fldChar w:fldCharType="separate"/>
      </w:r>
      <w:r w:rsidR="00DB4BE3">
        <w:rPr>
          <w:noProof/>
        </w:rPr>
        <w:t>2</w:t>
      </w:r>
      <w:r w:rsidRPr="00CF0DF4">
        <w:fldChar w:fldCharType="end"/>
      </w:r>
      <w:bookmarkEnd w:id="38"/>
      <w:r w:rsidRPr="00CF0DF4">
        <w:t xml:space="preserve">: Figure showing area ratio </w:t>
      </w:r>
      <w:r w:rsidR="008A6855" w:rsidRPr="00CF0DF4">
        <w:t>configuration</w:t>
      </w:r>
      <w:r w:rsidR="007667FC" w:rsidRPr="00CF0DF4">
        <w:t xml:space="preserve"> </w:t>
      </w:r>
      <w:r w:rsidRPr="00CF0DF4">
        <w:t>for</w:t>
      </w:r>
      <w:r w:rsidR="008A6855" w:rsidRPr="00CF0DF4">
        <w:t xml:space="preserve"> a 600 µm</w:t>
      </w:r>
      <w:r w:rsidR="001C2288">
        <w:t xml:space="preserve"> circular</w:t>
      </w:r>
      <w:r w:rsidR="008A6855" w:rsidRPr="00CF0DF4">
        <w:t xml:space="preserve"> </w:t>
      </w:r>
      <w:r w:rsidR="00781424">
        <w:t>hydrometeor</w:t>
      </w:r>
      <w:r w:rsidR="008A6855" w:rsidRPr="00CF0DF4">
        <w:t xml:space="preserve"> as imaged by the </w:t>
      </w:r>
      <w:r w:rsidR="00F21EB1" w:rsidRPr="00CF0DF4">
        <w:t>Two-Dimensional</w:t>
      </w:r>
      <w:r w:rsidR="006C55AF" w:rsidRPr="00CF0DF4">
        <w:t xml:space="preserve"> Stereo (2D-S) Probe</w:t>
      </w:r>
      <w:r w:rsidR="0084106C" w:rsidRPr="00CF0DF4">
        <w:t xml:space="preserve"> (thin grid)</w:t>
      </w:r>
      <w:r w:rsidR="006C55AF" w:rsidRPr="00CF0DF4">
        <w:t xml:space="preserve"> and the </w:t>
      </w:r>
      <w:proofErr w:type="gramStart"/>
      <w:r w:rsidR="006C55AF" w:rsidRPr="00CF0DF4">
        <w:t>High Volume</w:t>
      </w:r>
      <w:proofErr w:type="gramEnd"/>
      <w:r w:rsidR="006C55AF" w:rsidRPr="00CF0DF4">
        <w:t xml:space="preserve"> Precipitation Spectrometer Version 3 (HVPS3)</w:t>
      </w:r>
      <w:r w:rsidR="0084106C" w:rsidRPr="00CF0DF4">
        <w:t xml:space="preserve"> (thick grid)</w:t>
      </w:r>
      <w:r w:rsidR="006D64E5" w:rsidRPr="00CF0DF4">
        <w:t>.</w:t>
      </w:r>
      <w:bookmarkEnd w:id="39"/>
    </w:p>
    <w:p w14:paraId="1D9065E7" w14:textId="0A4F07B3" w:rsidR="00704171" w:rsidRPr="00CF0DF4" w:rsidRDefault="00704171" w:rsidP="00704171">
      <w:pPr>
        <w:pStyle w:val="Caption-Table"/>
        <w:rPr>
          <w:lang w:val="en-US"/>
        </w:rPr>
      </w:pPr>
      <w:bookmarkStart w:id="40" w:name="_Ref106361851"/>
      <w:bookmarkStart w:id="41" w:name="_Toc109123150"/>
      <w:bookmarkStart w:id="42" w:name="_Toc109123157"/>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3</w:t>
      </w:r>
      <w:r w:rsidRPr="00CF0DF4">
        <w:rPr>
          <w:lang w:val="en-US"/>
        </w:rPr>
        <w:fldChar w:fldCharType="end"/>
      </w:r>
      <w:bookmarkEnd w:id="40"/>
      <w:r w:rsidR="0038727D" w:rsidRPr="00CF0DF4">
        <w:rPr>
          <w:lang w:val="en-US"/>
        </w:rPr>
        <w:t xml:space="preserve">: Table </w:t>
      </w:r>
      <w:r w:rsidR="00A01007" w:rsidRPr="00CF0DF4">
        <w:rPr>
          <w:lang w:val="en-US"/>
        </w:rPr>
        <w:t>showing the area ratio</w:t>
      </w:r>
      <w:r w:rsidR="00B91C86" w:rsidRPr="00CF0DF4">
        <w:rPr>
          <w:lang w:val="en-US"/>
        </w:rPr>
        <w:t xml:space="preserve"> calculation </w:t>
      </w:r>
      <w:r w:rsidR="00490E2B" w:rsidRPr="00CF0DF4">
        <w:rPr>
          <w:lang w:val="en-US"/>
        </w:rPr>
        <w:t>for a</w:t>
      </w:r>
      <w:r w:rsidR="002E01D5" w:rsidRPr="00CF0DF4">
        <w:rPr>
          <w:lang w:val="en-US"/>
        </w:rPr>
        <w:t xml:space="preserve"> 600 µm diameter </w:t>
      </w:r>
      <w:r w:rsidR="00781424">
        <w:rPr>
          <w:lang w:val="en-US"/>
        </w:rPr>
        <w:t>hydrometeor</w:t>
      </w:r>
      <w:r w:rsidR="00A01007" w:rsidRPr="00CF0DF4">
        <w:rPr>
          <w:lang w:val="en-US"/>
        </w:rPr>
        <w:t xml:space="preserve"> </w:t>
      </w:r>
      <w:r w:rsidR="00E32FB9" w:rsidRPr="00CF0DF4">
        <w:rPr>
          <w:lang w:val="en-US"/>
        </w:rPr>
        <w:t xml:space="preserve">imaged by the </w:t>
      </w:r>
      <w:r w:rsidR="00F21EB1" w:rsidRPr="00CF0DF4">
        <w:rPr>
          <w:lang w:val="en-US"/>
        </w:rPr>
        <w:t>Two-Dimensional</w:t>
      </w:r>
      <w:r w:rsidR="00E32FB9" w:rsidRPr="00CF0DF4">
        <w:rPr>
          <w:lang w:val="en-US"/>
        </w:rPr>
        <w:t xml:space="preserve"> Stereo (2D-S) Probe (thin grid) and the </w:t>
      </w:r>
      <w:proofErr w:type="gramStart"/>
      <w:r w:rsidR="00E32FB9" w:rsidRPr="00CF0DF4">
        <w:rPr>
          <w:lang w:val="en-US"/>
        </w:rPr>
        <w:t>High Volume</w:t>
      </w:r>
      <w:proofErr w:type="gramEnd"/>
      <w:r w:rsidR="00E32FB9" w:rsidRPr="00CF0DF4">
        <w:rPr>
          <w:lang w:val="en-US"/>
        </w:rPr>
        <w:t xml:space="preserve"> Precipitation Spectrometer Version 3 (HVPS3) and </w:t>
      </w:r>
      <w:r w:rsidR="00A01007" w:rsidRPr="00CF0DF4">
        <w:rPr>
          <w:lang w:val="en-US"/>
        </w:rPr>
        <w:t xml:space="preserve">depicted in </w:t>
      </w:r>
      <w:r w:rsidR="00A01007" w:rsidRPr="00CF0DF4">
        <w:rPr>
          <w:lang w:val="en-US"/>
        </w:rPr>
        <w:fldChar w:fldCharType="begin"/>
      </w:r>
      <w:r w:rsidR="00A01007" w:rsidRPr="00CF0DF4">
        <w:rPr>
          <w:lang w:val="en-US"/>
        </w:rPr>
        <w:instrText xml:space="preserve"> REF _Ref106361474 \h </w:instrText>
      </w:r>
      <w:r w:rsidR="00A01007" w:rsidRPr="00CF0DF4">
        <w:rPr>
          <w:lang w:val="en-US"/>
        </w:rPr>
      </w:r>
      <w:r w:rsidR="00A01007" w:rsidRPr="00CF0DF4">
        <w:rPr>
          <w:lang w:val="en-US"/>
        </w:rPr>
        <w:fldChar w:fldCharType="separate"/>
      </w:r>
      <w:r w:rsidR="00DB4BE3" w:rsidRPr="00CF0DF4">
        <w:t xml:space="preserve">Figure </w:t>
      </w:r>
      <w:r w:rsidR="00DB4BE3">
        <w:rPr>
          <w:noProof/>
        </w:rPr>
        <w:t>2</w:t>
      </w:r>
      <w:r w:rsidR="00A01007" w:rsidRPr="00CF0DF4">
        <w:rPr>
          <w:lang w:val="en-US"/>
        </w:rPr>
        <w:fldChar w:fldCharType="end"/>
      </w:r>
      <w:r w:rsidR="00436AF1" w:rsidRPr="00CF0DF4">
        <w:rPr>
          <w:lang w:val="en-US"/>
        </w:rPr>
        <w:t>.</w:t>
      </w:r>
      <w:bookmarkEnd w:id="41"/>
      <w:bookmarkEnd w:id="42"/>
    </w:p>
    <w:tbl>
      <w:tblPr>
        <w:tblpPr w:leftFromText="187" w:rightFromText="187" w:bottomFromText="346" w:vertAnchor="text" w:tblpXSpec="center" w:tblpY="1"/>
        <w:tblOverlap w:val="never"/>
        <w:tblW w:w="9360"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788"/>
        <w:gridCol w:w="2987"/>
        <w:gridCol w:w="3585"/>
      </w:tblGrid>
      <w:tr w:rsidR="00764CE8" w:rsidRPr="00CF0DF4" w14:paraId="11B90D8F" w14:textId="77777777" w:rsidTr="008C044E">
        <w:trPr>
          <w:cantSplit/>
          <w:trHeight w:val="20"/>
        </w:trPr>
        <w:tc>
          <w:tcPr>
            <w:tcW w:w="2788" w:type="dxa"/>
            <w:tcBorders>
              <w:top w:val="single" w:sz="12" w:space="0" w:color="auto"/>
              <w:bottom w:val="single" w:sz="4" w:space="0" w:color="auto"/>
            </w:tcBorders>
            <w:shd w:val="clear" w:color="auto" w:fill="auto"/>
            <w:noWrap/>
            <w:vAlign w:val="center"/>
            <w:hideMark/>
          </w:tcPr>
          <w:p w14:paraId="713B66AB" w14:textId="77777777" w:rsidR="00764CE8" w:rsidRPr="00CF0DF4" w:rsidRDefault="00764CE8" w:rsidP="00764CE8">
            <w:pPr>
              <w:suppressAutoHyphens w:val="0"/>
              <w:autoSpaceDN/>
              <w:textAlignment w:val="auto"/>
              <w:rPr>
                <w:rFonts w:ascii="Times New Roman" w:eastAsia="Times New Roman" w:hAnsi="Times New Roman" w:cs="Times New Roman"/>
                <w:kern w:val="0"/>
                <w:lang w:eastAsia="en-US" w:bidi="ar-SA"/>
              </w:rPr>
            </w:pPr>
          </w:p>
        </w:tc>
        <w:tc>
          <w:tcPr>
            <w:tcW w:w="2987" w:type="dxa"/>
            <w:tcBorders>
              <w:top w:val="single" w:sz="12" w:space="0" w:color="auto"/>
              <w:bottom w:val="single" w:sz="4" w:space="0" w:color="auto"/>
            </w:tcBorders>
            <w:shd w:val="clear" w:color="auto" w:fill="auto"/>
            <w:noWrap/>
            <w:vAlign w:val="center"/>
            <w:hideMark/>
          </w:tcPr>
          <w:p w14:paraId="0EDE99CC" w14:textId="21EAF176" w:rsidR="00764CE8" w:rsidRPr="00CF0DF4" w:rsidRDefault="00C04052" w:rsidP="00764CE8">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2D-S</w:t>
            </w:r>
          </w:p>
        </w:tc>
        <w:tc>
          <w:tcPr>
            <w:tcW w:w="3585" w:type="dxa"/>
            <w:tcBorders>
              <w:top w:val="single" w:sz="12" w:space="0" w:color="auto"/>
              <w:bottom w:val="single" w:sz="4" w:space="0" w:color="auto"/>
            </w:tcBorders>
            <w:shd w:val="clear" w:color="auto" w:fill="auto"/>
            <w:noWrap/>
            <w:vAlign w:val="center"/>
            <w:hideMark/>
          </w:tcPr>
          <w:p w14:paraId="0CBEDB56" w14:textId="5AEC5668" w:rsidR="00764CE8" w:rsidRPr="00CF0DF4" w:rsidRDefault="00C04052" w:rsidP="00764CE8">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HVPS3</w:t>
            </w:r>
          </w:p>
        </w:tc>
      </w:tr>
      <w:tr w:rsidR="00EB49F0" w:rsidRPr="00CF0DF4" w14:paraId="23EFB7DC" w14:textId="77777777" w:rsidTr="008C044E">
        <w:trPr>
          <w:cantSplit/>
          <w:trHeight w:val="20"/>
        </w:trPr>
        <w:tc>
          <w:tcPr>
            <w:tcW w:w="2788" w:type="dxa"/>
            <w:tcBorders>
              <w:top w:val="nil"/>
              <w:bottom w:val="nil"/>
            </w:tcBorders>
            <w:shd w:val="clear" w:color="auto" w:fill="auto"/>
            <w:noWrap/>
          </w:tcPr>
          <w:p w14:paraId="65EE176A" w14:textId="0BE389FD" w:rsidR="00EB49F0" w:rsidRPr="00CF0DF4" w:rsidRDefault="00EB49F0" w:rsidP="00EB49F0">
            <w:pPr>
              <w:suppressAutoHyphens w:val="0"/>
              <w:autoSpaceDN/>
              <w:textAlignment w:val="auto"/>
              <w:rPr>
                <w:rFonts w:ascii="Times New Roman" w:eastAsia="Times New Roman" w:hAnsi="Times New Roman" w:cs="Times New Roman"/>
                <w:color w:val="000000"/>
                <w:kern w:val="0"/>
                <w:lang w:eastAsia="en-US" w:bidi="ar-SA"/>
              </w:rPr>
            </w:pPr>
            <w:r w:rsidRPr="00CF0DF4">
              <w:t>Image Size [</w:t>
            </w:r>
            <w:r w:rsidRPr="00CF0DF4">
              <w:rPr>
                <w:i/>
                <w:iCs/>
              </w:rPr>
              <w:t>µm</w:t>
            </w:r>
            <w:r w:rsidRPr="00CF0DF4">
              <w:rPr>
                <w:i/>
                <w:iCs/>
                <w:vertAlign w:val="superscript"/>
              </w:rPr>
              <w:t>2</w:t>
            </w:r>
            <w:r w:rsidRPr="00CF0DF4">
              <w:t>]</w:t>
            </w:r>
          </w:p>
        </w:tc>
        <w:tc>
          <w:tcPr>
            <w:tcW w:w="2987" w:type="dxa"/>
            <w:tcBorders>
              <w:top w:val="nil"/>
              <w:bottom w:val="nil"/>
            </w:tcBorders>
            <w:shd w:val="clear" w:color="auto" w:fill="auto"/>
            <w:noWrap/>
          </w:tcPr>
          <w:p w14:paraId="7A0528F4" w14:textId="7B7E1569" w:rsidR="00EB49F0" w:rsidRPr="00CF0DF4" w:rsidRDefault="00EB49F0" w:rsidP="00EB49F0">
            <w:pPr>
              <w:suppressAutoHyphens w:val="0"/>
              <w:autoSpaceDN/>
              <w:jc w:val="center"/>
              <w:textAlignment w:val="auto"/>
              <w:rPr>
                <w:rFonts w:ascii="Times New Roman" w:eastAsia="Times New Roman" w:hAnsi="Times New Roman" w:cs="Times New Roman"/>
                <w:color w:val="000000"/>
                <w:kern w:val="0"/>
                <w:lang w:eastAsia="en-US" w:bidi="ar-SA"/>
              </w:rPr>
            </w:pPr>
            <w:r w:rsidRPr="00CF0DF4">
              <w:t>2824</w:t>
            </w:r>
            <w:r w:rsidR="00080AC4" w:rsidRPr="00CF0DF4">
              <w:t>00</w:t>
            </w:r>
          </w:p>
        </w:tc>
        <w:tc>
          <w:tcPr>
            <w:tcW w:w="3585" w:type="dxa"/>
            <w:tcBorders>
              <w:top w:val="nil"/>
              <w:bottom w:val="nil"/>
            </w:tcBorders>
            <w:shd w:val="clear" w:color="auto" w:fill="auto"/>
            <w:noWrap/>
          </w:tcPr>
          <w:p w14:paraId="3301049D" w14:textId="6D990098" w:rsidR="00EB49F0" w:rsidRPr="00CF0DF4" w:rsidRDefault="00EB49F0" w:rsidP="00EB49F0">
            <w:pPr>
              <w:suppressAutoHyphens w:val="0"/>
              <w:autoSpaceDN/>
              <w:jc w:val="center"/>
              <w:textAlignment w:val="auto"/>
              <w:rPr>
                <w:rFonts w:ascii="Times New Roman" w:eastAsia="Times New Roman" w:hAnsi="Times New Roman" w:cs="Times New Roman"/>
                <w:color w:val="000000"/>
                <w:kern w:val="0"/>
                <w:lang w:eastAsia="en-US" w:bidi="ar-SA"/>
              </w:rPr>
            </w:pPr>
            <w:r w:rsidRPr="00CF0DF4">
              <w:t>2700</w:t>
            </w:r>
            <w:r w:rsidR="00080AC4" w:rsidRPr="00CF0DF4">
              <w:t>00</w:t>
            </w:r>
          </w:p>
        </w:tc>
      </w:tr>
      <w:tr w:rsidR="00EB49F0" w:rsidRPr="00CF0DF4" w14:paraId="67155D16" w14:textId="77777777" w:rsidTr="008C044E">
        <w:trPr>
          <w:cantSplit/>
          <w:trHeight w:val="20"/>
        </w:trPr>
        <w:tc>
          <w:tcPr>
            <w:tcW w:w="2788" w:type="dxa"/>
            <w:tcBorders>
              <w:top w:val="nil"/>
              <w:bottom w:val="dashed" w:sz="4" w:space="0" w:color="auto"/>
            </w:tcBorders>
            <w:shd w:val="clear" w:color="auto" w:fill="auto"/>
            <w:noWrap/>
          </w:tcPr>
          <w:p w14:paraId="2104B0D9" w14:textId="3F1649A5" w:rsidR="00EB49F0" w:rsidRPr="00CF0DF4" w:rsidRDefault="00EB49F0" w:rsidP="00EB49F0">
            <w:pPr>
              <w:suppressAutoHyphens w:val="0"/>
              <w:autoSpaceDN/>
              <w:textAlignment w:val="auto"/>
            </w:pPr>
            <w:r w:rsidRPr="00CF0DF4">
              <w:t>Fast Circle [</w:t>
            </w:r>
            <w:r w:rsidRPr="00CF0DF4">
              <w:rPr>
                <w:i/>
                <w:iCs/>
              </w:rPr>
              <w:t>µm</w:t>
            </w:r>
            <w:r w:rsidRPr="00CF0DF4">
              <w:rPr>
                <w:i/>
                <w:iCs/>
                <w:vertAlign w:val="superscript"/>
              </w:rPr>
              <w:t>2</w:t>
            </w:r>
            <w:r w:rsidRPr="00CF0DF4">
              <w:t>]</w:t>
            </w:r>
          </w:p>
        </w:tc>
        <w:tc>
          <w:tcPr>
            <w:tcW w:w="2987" w:type="dxa"/>
            <w:tcBorders>
              <w:top w:val="nil"/>
              <w:bottom w:val="dashed" w:sz="4" w:space="0" w:color="auto"/>
            </w:tcBorders>
            <w:shd w:val="clear" w:color="auto" w:fill="auto"/>
            <w:noWrap/>
          </w:tcPr>
          <w:p w14:paraId="4C0142E8" w14:textId="040F544C" w:rsidR="00EB49F0" w:rsidRPr="00CF0DF4" w:rsidRDefault="00EB49F0" w:rsidP="00EB49F0">
            <w:pPr>
              <w:suppressAutoHyphens w:val="0"/>
              <w:autoSpaceDN/>
              <w:jc w:val="center"/>
              <w:textAlignment w:val="auto"/>
            </w:pPr>
            <w:r w:rsidRPr="00CF0DF4">
              <w:t>3030</w:t>
            </w:r>
            <w:r w:rsidR="00080AC4" w:rsidRPr="00CF0DF4">
              <w:t>54</w:t>
            </w:r>
          </w:p>
        </w:tc>
        <w:tc>
          <w:tcPr>
            <w:tcW w:w="3585" w:type="dxa"/>
            <w:tcBorders>
              <w:top w:val="nil"/>
              <w:bottom w:val="dashed" w:sz="4" w:space="0" w:color="auto"/>
            </w:tcBorders>
            <w:shd w:val="clear" w:color="auto" w:fill="auto"/>
            <w:noWrap/>
          </w:tcPr>
          <w:p w14:paraId="6770A275" w14:textId="308064B0" w:rsidR="00EB49F0" w:rsidRPr="00CF0DF4" w:rsidRDefault="00EB49F0" w:rsidP="00EB49F0">
            <w:pPr>
              <w:suppressAutoHyphens w:val="0"/>
              <w:autoSpaceDN/>
              <w:jc w:val="center"/>
              <w:textAlignment w:val="auto"/>
            </w:pPr>
            <w:r w:rsidRPr="00CF0DF4">
              <w:t>3682</w:t>
            </w:r>
            <w:r w:rsidR="00080AC4" w:rsidRPr="00CF0DF4">
              <w:t>12</w:t>
            </w:r>
          </w:p>
        </w:tc>
      </w:tr>
      <w:tr w:rsidR="00EB49F0" w:rsidRPr="00CF0DF4" w14:paraId="17D57C7B" w14:textId="77777777" w:rsidTr="008C044E">
        <w:trPr>
          <w:cantSplit/>
          <w:trHeight w:val="20"/>
        </w:trPr>
        <w:tc>
          <w:tcPr>
            <w:tcW w:w="2788" w:type="dxa"/>
            <w:tcBorders>
              <w:top w:val="dashed" w:sz="4" w:space="0" w:color="auto"/>
            </w:tcBorders>
            <w:shd w:val="clear" w:color="auto" w:fill="auto"/>
            <w:noWrap/>
          </w:tcPr>
          <w:p w14:paraId="1D2EF717" w14:textId="494A1E0F" w:rsidR="00EB49F0" w:rsidRPr="00CF0DF4" w:rsidRDefault="00EB49F0" w:rsidP="00EB49F0">
            <w:pPr>
              <w:suppressAutoHyphens w:val="0"/>
              <w:autoSpaceDN/>
              <w:textAlignment w:val="auto"/>
              <w:rPr>
                <w:rFonts w:ascii="Times New Roman" w:eastAsia="Times New Roman" w:hAnsi="Times New Roman" w:cs="Times New Roman"/>
                <w:b/>
                <w:bCs/>
                <w:color w:val="000000"/>
                <w:kern w:val="0"/>
                <w:lang w:eastAsia="en-US" w:bidi="ar-SA"/>
              </w:rPr>
            </w:pPr>
            <w:r w:rsidRPr="00CF0DF4">
              <w:rPr>
                <w:b/>
                <w:bCs/>
              </w:rPr>
              <w:lastRenderedPageBreak/>
              <w:t>Area Ratio</w:t>
            </w:r>
          </w:p>
        </w:tc>
        <w:tc>
          <w:tcPr>
            <w:tcW w:w="2987" w:type="dxa"/>
            <w:tcBorders>
              <w:top w:val="dashed" w:sz="4" w:space="0" w:color="auto"/>
            </w:tcBorders>
            <w:shd w:val="clear" w:color="auto" w:fill="auto"/>
            <w:noWrap/>
          </w:tcPr>
          <w:p w14:paraId="2DC9F450" w14:textId="3B6FF71F" w:rsidR="00EB49F0" w:rsidRPr="00CF0DF4" w:rsidRDefault="00EB49F0" w:rsidP="00EB49F0">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b/>
                <w:bCs/>
              </w:rPr>
              <w:t>0.93</w:t>
            </w:r>
          </w:p>
        </w:tc>
        <w:tc>
          <w:tcPr>
            <w:tcW w:w="3585" w:type="dxa"/>
            <w:tcBorders>
              <w:top w:val="dashed" w:sz="4" w:space="0" w:color="auto"/>
            </w:tcBorders>
            <w:shd w:val="clear" w:color="auto" w:fill="auto"/>
            <w:noWrap/>
          </w:tcPr>
          <w:p w14:paraId="37AE7B6D" w14:textId="516839A7" w:rsidR="00EB49F0" w:rsidRPr="00CF0DF4" w:rsidRDefault="00EB49F0" w:rsidP="00EB49F0">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b/>
                <w:bCs/>
              </w:rPr>
              <w:t>0.73</w:t>
            </w:r>
          </w:p>
        </w:tc>
      </w:tr>
    </w:tbl>
    <w:p w14:paraId="56140AB2" w14:textId="766DC0B3" w:rsidR="00D64499" w:rsidRPr="00CF0DF4" w:rsidRDefault="00781424" w:rsidP="00D64499">
      <w:pPr>
        <w:pStyle w:val="Body"/>
        <w:rPr>
          <w:lang w:val="en-US"/>
        </w:rPr>
      </w:pPr>
      <w:r>
        <w:rPr>
          <w:lang w:val="en-US"/>
        </w:rPr>
        <w:t>Hydrometeors</w:t>
      </w:r>
      <w:r w:rsidR="2E048D7D" w:rsidRPr="00CF0DF4">
        <w:rPr>
          <w:lang w:val="en-US"/>
        </w:rPr>
        <w:t xml:space="preserve"> are rejected</w:t>
      </w:r>
      <w:r w:rsidR="7333CB82" w:rsidRPr="00CF0DF4">
        <w:rPr>
          <w:lang w:val="en-US"/>
        </w:rPr>
        <w:t xml:space="preserve"> from processing</w:t>
      </w:r>
      <w:r w:rsidR="2E048D7D" w:rsidRPr="00CF0DF4">
        <w:rPr>
          <w:lang w:val="en-US"/>
        </w:rPr>
        <w:t xml:space="preserve"> </w:t>
      </w:r>
      <w:r w:rsidR="7333CB82" w:rsidRPr="00CF0DF4">
        <w:rPr>
          <w:lang w:val="en-US"/>
        </w:rPr>
        <w:t>when</w:t>
      </w:r>
      <w:r w:rsidR="2E048D7D" w:rsidRPr="00CF0DF4">
        <w:rPr>
          <w:lang w:val="en-US"/>
        </w:rPr>
        <w:t xml:space="preserve"> the area ratio is less than 0.1.</w:t>
      </w:r>
      <w:r w:rsidR="765196CF" w:rsidRPr="00CF0DF4">
        <w:rPr>
          <w:lang w:val="en-US"/>
        </w:rPr>
        <w:t xml:space="preserve"> Partially captured </w:t>
      </w:r>
      <w:r>
        <w:rPr>
          <w:lang w:val="en-US"/>
        </w:rPr>
        <w:t>hydrometeors</w:t>
      </w:r>
      <w:r w:rsidR="765196CF" w:rsidRPr="00CF0DF4">
        <w:rPr>
          <w:lang w:val="en-US"/>
        </w:rPr>
        <w:t xml:space="preserve"> are processed using the “reconstruction” metho</w:t>
      </w:r>
      <w:r w:rsidR="167B7EC2" w:rsidRPr="00CF0DF4">
        <w:rPr>
          <w:lang w:val="en-US"/>
        </w:rPr>
        <w:t xml:space="preserve">d in </w:t>
      </w:r>
      <w:r w:rsidR="7421E05D" w:rsidRPr="00CF0DF4">
        <w:rPr>
          <w:lang w:val="en-US"/>
        </w:rPr>
        <w:t xml:space="preserve">which </w:t>
      </w:r>
      <w:r>
        <w:rPr>
          <w:lang w:val="en-US"/>
        </w:rPr>
        <w:t>hydrometeors</w:t>
      </w:r>
      <w:r w:rsidR="7421E05D" w:rsidRPr="00CF0DF4">
        <w:rPr>
          <w:lang w:val="en-US"/>
        </w:rPr>
        <w:t xml:space="preserve"> that touch the edge of the imaging array </w:t>
      </w:r>
      <w:r w:rsidR="167B7EC2" w:rsidRPr="00CF0DF4">
        <w:rPr>
          <w:lang w:val="en-US"/>
        </w:rPr>
        <w:t xml:space="preserve">are recreated using </w:t>
      </w:r>
      <w:r w:rsidR="146BD452" w:rsidRPr="00CF0DF4">
        <w:rPr>
          <w:lang w:val="en-US"/>
        </w:rPr>
        <w:t xml:space="preserve">the </w:t>
      </w:r>
      <w:r w:rsidR="1AB08950" w:rsidRPr="00CF0DF4">
        <w:rPr>
          <w:lang w:val="en-US"/>
        </w:rPr>
        <w:t>algorithm</w:t>
      </w:r>
      <w:r w:rsidR="146BD452" w:rsidRPr="00CF0DF4">
        <w:rPr>
          <w:lang w:val="en-US"/>
        </w:rPr>
        <w:t xml:space="preserve"> described by </w:t>
      </w:r>
      <w:r w:rsidR="008C6CEE" w:rsidRPr="00CF0DF4">
        <w:rPr>
          <w:lang w:val="en-US"/>
        </w:rPr>
        <w:fldChar w:fldCharType="begin"/>
      </w:r>
      <w:r w:rsidR="008C6CEE" w:rsidRPr="00CF0DF4">
        <w:rPr>
          <w:lang w:val="en-US"/>
        </w:rPr>
        <w:instrText xml:space="preserve"> ADDIN ZOTERO_ITEM CSL_CITATION {"citationID":"QS1sJDIg","properties":{"formattedCitation":"(Heymsfield and Parrish 1978)","plainCitation":"(Heymsfield and Parrish 1978)","dontUpdate":true,"noteIndex":0},"citationItems":[{"id":299,"uris":["http://zotero.org/groups/4663654/items/35CBPYIA"],"itemData":{"id":299,"type":"article-journal","abstract":"Abstract Equations are developed to compute the size of particles partially contained within the sampling area of the PMS two-dimensional particle size spectrometer. This technique permits the effective sampling volume of the device to be increased considerably over the sampling volume obtained by the two other techniques in common usage. Size spectra obtained by this technique are compared with size spectra obtained by the two other techniques and with spectra from two other probes on the T-28 aircraft in a thunderstorm in northeast Colorado.","container-title":"Journal of Applied Meteorology and Climatology","DOI":"10.1175/1520-0450(1978)017&lt;1566:ACTFIT&gt;2.0.CO;2","ISSN":"1520-0450","issue":"10","language":"EN","note":"publisher: American Meteorological Society\nsection: Journal of Applied Meteorology and Climatology","page":"1566-1572","source":"journals.ametsoc.org","title":"A Computational Technique for Increasing the Effective Sampling Volume of the PMS Two-Dimensional Particle Size Spectrometer","volume":"17","author":[{"family":"Heymsfield","given":"Andrew J."},{"family":"Parrish","given":"Joanne L."}],"issued":{"date-parts":[["1978",10,1]]}}}],"schema":"https://github.com/citation-style-language/schema/raw/master/csl-citation.json"} </w:instrText>
      </w:r>
      <w:r w:rsidR="008C6CEE" w:rsidRPr="00CF0DF4">
        <w:rPr>
          <w:lang w:val="en-US"/>
        </w:rPr>
        <w:fldChar w:fldCharType="separate"/>
      </w:r>
      <w:r w:rsidR="146BD452" w:rsidRPr="00CF0DF4">
        <w:rPr>
          <w:rFonts w:cs="Times New Roman"/>
          <w:lang w:val="en-US"/>
        </w:rPr>
        <w:t>Heymsfield and Parrish (1978)</w:t>
      </w:r>
      <w:r w:rsidR="008C6CEE" w:rsidRPr="00CF0DF4">
        <w:rPr>
          <w:lang w:val="en-US"/>
        </w:rPr>
        <w:fldChar w:fldCharType="end"/>
      </w:r>
      <w:r w:rsidR="6C81300D" w:rsidRPr="00CF0DF4">
        <w:rPr>
          <w:lang w:val="en-US"/>
        </w:rPr>
        <w:t xml:space="preserve">. </w:t>
      </w:r>
      <w:r w:rsidR="58D3D5C7" w:rsidRPr="00CF0DF4">
        <w:rPr>
          <w:lang w:val="en-US"/>
        </w:rPr>
        <w:t xml:space="preserve">The “reconstruction” method results in an effectively larger sample volume </w:t>
      </w:r>
      <w:r w:rsidR="69876D6A" w:rsidRPr="00CF0DF4">
        <w:rPr>
          <w:lang w:val="en-US"/>
        </w:rPr>
        <w:t xml:space="preserve">for the probes by including </w:t>
      </w:r>
      <w:r>
        <w:rPr>
          <w:lang w:val="en-US"/>
        </w:rPr>
        <w:t>hydrometeors</w:t>
      </w:r>
      <w:r w:rsidR="69876D6A" w:rsidRPr="00CF0DF4">
        <w:rPr>
          <w:lang w:val="en-US"/>
        </w:rPr>
        <w:t xml:space="preserve"> that </w:t>
      </w:r>
      <w:r w:rsidR="0B6E693F" w:rsidRPr="00CF0DF4">
        <w:rPr>
          <w:lang w:val="en-US"/>
        </w:rPr>
        <w:t>do not fully fit in the imaging array</w:t>
      </w:r>
      <w:r w:rsidR="109DCCD0" w:rsidRPr="00CF0DF4">
        <w:rPr>
          <w:lang w:val="en-US"/>
        </w:rPr>
        <w:t xml:space="preserve"> and</w:t>
      </w:r>
      <w:r w:rsidR="0B6E693F" w:rsidRPr="00CF0DF4">
        <w:rPr>
          <w:lang w:val="en-US"/>
        </w:rPr>
        <w:t xml:space="preserve"> has the largest effect on the 2D-S due to its lower sample volume.</w:t>
      </w:r>
      <w:r w:rsidR="34DF27B4" w:rsidRPr="00CF0DF4">
        <w:rPr>
          <w:lang w:val="en-US"/>
        </w:rPr>
        <w:t xml:space="preserve"> When </w:t>
      </w:r>
      <w:r w:rsidR="7F2FA775" w:rsidRPr="00CF0DF4">
        <w:rPr>
          <w:lang w:val="en-US"/>
        </w:rPr>
        <w:t xml:space="preserve">large </w:t>
      </w:r>
      <w:r>
        <w:rPr>
          <w:lang w:val="en-US"/>
        </w:rPr>
        <w:t>hydrometeor</w:t>
      </w:r>
      <w:r w:rsidR="7F2FA775" w:rsidRPr="00CF0DF4">
        <w:rPr>
          <w:lang w:val="en-US"/>
        </w:rPr>
        <w:t xml:space="preserve"> imaging </w:t>
      </w:r>
      <w:r w:rsidR="6E4BBC56" w:rsidRPr="00CF0DF4">
        <w:rPr>
          <w:lang w:val="en-US"/>
        </w:rPr>
        <w:t xml:space="preserve">probes such as the HVPS3 </w:t>
      </w:r>
      <w:r w:rsidR="7F2FA775" w:rsidRPr="00CF0DF4">
        <w:rPr>
          <w:lang w:val="en-US"/>
        </w:rPr>
        <w:t>are use</w:t>
      </w:r>
      <w:r w:rsidR="00B34D4D" w:rsidRPr="00CF0DF4">
        <w:rPr>
          <w:lang w:val="en-US"/>
        </w:rPr>
        <w:t>d</w:t>
      </w:r>
      <w:r w:rsidR="7F2FA775" w:rsidRPr="00CF0DF4">
        <w:rPr>
          <w:lang w:val="en-US"/>
        </w:rPr>
        <w:t xml:space="preserve"> in combination with the</w:t>
      </w:r>
      <w:r w:rsidR="7BADA567" w:rsidRPr="00CF0DF4">
        <w:rPr>
          <w:lang w:val="en-US"/>
        </w:rPr>
        <w:t xml:space="preserve"> 2D-S, the “</w:t>
      </w:r>
      <w:proofErr w:type="spellStart"/>
      <w:r w:rsidR="7BADA567" w:rsidRPr="00CF0DF4">
        <w:rPr>
          <w:lang w:val="en-US"/>
        </w:rPr>
        <w:t>centerin</w:t>
      </w:r>
      <w:proofErr w:type="spellEnd"/>
      <w:r w:rsidR="7BADA567" w:rsidRPr="00CF0DF4">
        <w:rPr>
          <w:lang w:val="en-US"/>
        </w:rPr>
        <w:t xml:space="preserve">” method </w:t>
      </w:r>
      <w:r w:rsidR="163069BF" w:rsidRPr="00CF0DF4">
        <w:rPr>
          <w:lang w:val="en-US"/>
        </w:rPr>
        <w:t xml:space="preserve">has typically been used (e.g., </w:t>
      </w:r>
      <w:r w:rsidR="008C6CEE" w:rsidRPr="00CF0DF4">
        <w:rPr>
          <w:lang w:val="en-US"/>
        </w:rPr>
        <w:fldChar w:fldCharType="begin"/>
      </w:r>
      <w:r w:rsidR="008C6CEE" w:rsidRPr="00CF0DF4">
        <w:rPr>
          <w:lang w:val="en-US"/>
        </w:rPr>
        <w:instrText xml:space="preserve"> ADDIN ZOTERO_ITEM CSL_CITATION {"citationID":"dEZtRj4e","properties":{"formattedCitation":"(Wagner and Delene 2022)","plainCitation":"(Wagner and Delene 2022)","dontUpdate":true,"noteIndex":0},"citationItems":[{"id":308,"uris":["http://zotero.org/groups/4663654/items/U4XYMC9F"],"itemData":{"id":308,"type":"report","abstract":"Jet engine power loss due to ice particle accumulation is a recognized aviation hazard occurring in cloud conditions difficult to forecast or visually recognize. High-altitude cirrus clouds can have ice particle concentrations high enough to be dangerous; therefore, pilots must be informed when aircraft enter such environments. One approach to determining ice 10 particle concentration is an onboard Lidar system. Concurrent Lidar measurements are compared to backscatter coefficients derived from particle size distributions obtained from wing-mounted, in-situ probes during four case studies consisting of sixty-second flight segments at different temperatures; +7 °C and +4 °C for water droplet analysis, -33 °C and -46 °C for ice particle analysis. Backscatter coefficients derived from external cloud probes (ECP) are correlated (0.91) with measurements by an airborne Lidar system known as the Optical Ice Detector (OID). Differences between OID and ECP backscatter 15 coefficients range from less than 1 to over 3 standard deviations uncertainties. The backscatter coefficients are primarily in agreement for liquid clouds and disagreement for the -33 °C and -46 °C cases, with ECP derived backscatter coefficients lower than the OID for three out of the four cases. Measurements over four research flights show that measured total water content is correlated (0.74) with the OID backscatter coefficient, which indicates that the OID is a useful instrument for determining ice particle concentrations over a broad range of environments, including at ice water contents as low as 0.02 g 20 m-3. Additionally, concurrent measurements from cloud imaging probes and an airborne Lidar test system provides improved knowledge of cloud conditions and can help in understanding cloud processes.","genre":"preprint","language":"en","note":"DOI: 10.5194/amt-2022-87","publisher":"Clouds/In Situ Measurement/Validation and Intercomparisons","source":"DOI.org (Crossref)","title":"Technique for comparison of backscatter coefficients derived from in-situ cloud probe measurements with concurrent airborne Lidar","URL":"https://amt.copernicus.org/preprints/amt-2022-87/","author":[{"family":"Wagner","given":"Shawn Wendell"},{"family":"Delene","given":"David James"}],"accessed":{"date-parts":[["2022",5,26]]},"issued":{"date-parts":[["2022",5,19]]}}}],"schema":"https://github.com/citation-style-language/schema/raw/master/csl-citation.json"} </w:instrText>
      </w:r>
      <w:r w:rsidR="008C6CEE" w:rsidRPr="00CF0DF4">
        <w:rPr>
          <w:lang w:val="en-US"/>
        </w:rPr>
        <w:fldChar w:fldCharType="separate"/>
      </w:r>
      <w:r w:rsidR="163069BF" w:rsidRPr="00CF0DF4">
        <w:rPr>
          <w:rFonts w:cs="Times New Roman"/>
          <w:lang w:val="en-US"/>
        </w:rPr>
        <w:t>Wagner and Delene 2022)</w:t>
      </w:r>
      <w:r w:rsidR="008C6CEE" w:rsidRPr="00CF0DF4">
        <w:rPr>
          <w:lang w:val="en-US"/>
        </w:rPr>
        <w:fldChar w:fldCharType="end"/>
      </w:r>
      <w:r w:rsidR="163069BF" w:rsidRPr="00CF0DF4">
        <w:rPr>
          <w:lang w:val="en-US"/>
        </w:rPr>
        <w:t>. The “</w:t>
      </w:r>
      <w:proofErr w:type="spellStart"/>
      <w:r w:rsidR="163069BF" w:rsidRPr="00CF0DF4">
        <w:rPr>
          <w:lang w:val="en-US"/>
        </w:rPr>
        <w:t>centerin</w:t>
      </w:r>
      <w:proofErr w:type="spellEnd"/>
      <w:r w:rsidR="163069BF" w:rsidRPr="00CF0DF4">
        <w:rPr>
          <w:lang w:val="en-US"/>
        </w:rPr>
        <w:t xml:space="preserve">” method </w:t>
      </w:r>
      <w:r w:rsidR="0D1DAD07" w:rsidRPr="00CF0DF4">
        <w:rPr>
          <w:lang w:val="en-US"/>
        </w:rPr>
        <w:t xml:space="preserve">rejects </w:t>
      </w:r>
      <w:r>
        <w:rPr>
          <w:lang w:val="en-US"/>
        </w:rPr>
        <w:t>hydrometeors</w:t>
      </w:r>
      <w:r w:rsidR="2EDDE453" w:rsidRPr="00CF0DF4">
        <w:rPr>
          <w:lang w:val="en-US"/>
        </w:rPr>
        <w:t xml:space="preserve"> </w:t>
      </w:r>
      <w:r w:rsidR="0A9546AB" w:rsidRPr="00CF0DF4">
        <w:rPr>
          <w:lang w:val="en-US"/>
        </w:rPr>
        <w:t xml:space="preserve">if their </w:t>
      </w:r>
      <w:r w:rsidR="6B006779" w:rsidRPr="00CF0DF4">
        <w:rPr>
          <w:lang w:val="en-US"/>
        </w:rPr>
        <w:t>center of mass</w:t>
      </w:r>
      <w:r w:rsidR="0D1DAD07" w:rsidRPr="00CF0DF4">
        <w:rPr>
          <w:lang w:val="en-US"/>
        </w:rPr>
        <w:t xml:space="preserve"> is outside the</w:t>
      </w:r>
      <w:r w:rsidR="0A9546AB" w:rsidRPr="00CF0DF4">
        <w:rPr>
          <w:lang w:val="en-US"/>
        </w:rPr>
        <w:t xml:space="preserve"> imaging</w:t>
      </w:r>
      <w:r w:rsidR="0D1DAD07" w:rsidRPr="00CF0DF4">
        <w:rPr>
          <w:lang w:val="en-US"/>
        </w:rPr>
        <w:t xml:space="preserve"> array. </w:t>
      </w:r>
      <w:r w:rsidR="61C5F6F1" w:rsidRPr="00CF0DF4">
        <w:rPr>
          <w:lang w:val="en-US"/>
        </w:rPr>
        <w:t>However,</w:t>
      </w:r>
      <w:r w:rsidR="4550E297" w:rsidRPr="00CF0DF4">
        <w:rPr>
          <w:lang w:val="en-US"/>
        </w:rPr>
        <w:t xml:space="preserve"> the “</w:t>
      </w:r>
      <w:proofErr w:type="spellStart"/>
      <w:r w:rsidR="4550E297" w:rsidRPr="00CF0DF4">
        <w:rPr>
          <w:lang w:val="en-US"/>
        </w:rPr>
        <w:t>centerin</w:t>
      </w:r>
      <w:proofErr w:type="spellEnd"/>
      <w:r w:rsidR="4550E297" w:rsidRPr="00CF0DF4">
        <w:rPr>
          <w:lang w:val="en-US"/>
        </w:rPr>
        <w:t xml:space="preserve">” </w:t>
      </w:r>
      <w:r w:rsidR="7A811950" w:rsidRPr="00CF0DF4">
        <w:rPr>
          <w:lang w:val="en-US"/>
        </w:rPr>
        <w:t xml:space="preserve">method has a higher concentration of </w:t>
      </w:r>
      <w:r>
        <w:rPr>
          <w:lang w:val="en-US"/>
        </w:rPr>
        <w:t>hydrometeors</w:t>
      </w:r>
      <w:r w:rsidR="2D654D45" w:rsidRPr="00CF0DF4">
        <w:rPr>
          <w:lang w:val="en-US"/>
        </w:rPr>
        <w:t>,</w:t>
      </w:r>
      <w:r w:rsidR="5F055D3F" w:rsidRPr="00CF0DF4">
        <w:rPr>
          <w:lang w:val="en-US"/>
        </w:rPr>
        <w:t xml:space="preserve"> likely due to </w:t>
      </w:r>
      <w:r w:rsidR="213123C7" w:rsidRPr="00CF0DF4">
        <w:rPr>
          <w:lang w:val="en-US"/>
        </w:rPr>
        <w:t xml:space="preserve">the lower </w:t>
      </w:r>
      <w:r w:rsidR="38E63A4B" w:rsidRPr="00CF0DF4">
        <w:rPr>
          <w:lang w:val="en-US"/>
        </w:rPr>
        <w:t xml:space="preserve">effective </w:t>
      </w:r>
      <w:r w:rsidR="213123C7" w:rsidRPr="00CF0DF4">
        <w:rPr>
          <w:lang w:val="en-US"/>
        </w:rPr>
        <w:t>sample volume</w:t>
      </w:r>
      <w:r w:rsidR="38E63A4B" w:rsidRPr="00CF0DF4">
        <w:rPr>
          <w:lang w:val="en-US"/>
        </w:rPr>
        <w:t xml:space="preserve"> with this method</w:t>
      </w:r>
      <w:r w:rsidR="2C8CC926" w:rsidRPr="00CF0DF4">
        <w:rPr>
          <w:lang w:val="en-US"/>
        </w:rPr>
        <w:t xml:space="preserve"> </w:t>
      </w:r>
      <w:r w:rsidR="008C6CEE" w:rsidRPr="00CF0DF4">
        <w:rPr>
          <w:lang w:val="en-US"/>
        </w:rPr>
        <w:fldChar w:fldCharType="begin"/>
      </w:r>
      <w:r w:rsidR="008C6CEE" w:rsidRPr="00CF0DF4">
        <w:rPr>
          <w:lang w:val="en-US"/>
        </w:rPr>
        <w:instrText xml:space="preserve"> ADDIN ZOTERO_ITEM CSL_CITATION {"citationID":"4xJQs2IM","properties":{"formattedCitation":"(Heymsfield and Parrish 1978)","plainCitation":"(Heymsfield and Parrish 1978)","noteIndex":0},"citationItems":[{"id":299,"uris":["http://zotero.org/groups/4663654/items/35CBPYIA"],"itemData":{"id":299,"type":"article-journal","abstract":"Abstract Equations are developed to compute the size of particles partially contained within the sampling area of the PMS two-dimensional particle size spectrometer. This technique permits the effective sampling volume of the device to be increased considerably over the sampling volume obtained by the two other techniques in common usage. Size spectra obtained by this technique are compared with size spectra obtained by the two other techniques and with spectra from two other probes on the T-28 aircraft in a thunderstorm in northeast Colorado.","container-title":"Journal of Applied Meteorology and Climatology","DOI":"10.1175/1520-0450(1978)017&lt;1566:ACTFIT&gt;2.0.CO;2","ISSN":"1520-0450","issue":"10","language":"EN","note":"publisher: American Meteorological Society\nsection: Journal of Applied Meteorology and Climatology","page":"1566-1572","source":"journals.ametsoc.org","title":"A Computational Technique for Increasing the Effective Sampling Volume of the PMS Two-Dimensional Particle Size Spectrometer","volume":"17","author":[{"family":"Heymsfield","given":"Andrew J."},{"family":"Parrish","given":"Joanne L."}],"issued":{"date-parts":[["1978",10,1]]}}}],"schema":"https://github.com/citation-style-language/schema/raw/master/csl-citation.json"} </w:instrText>
      </w:r>
      <w:r w:rsidR="008C6CEE" w:rsidRPr="00CF0DF4">
        <w:rPr>
          <w:lang w:val="en-US"/>
        </w:rPr>
        <w:fldChar w:fldCharType="separate"/>
      </w:r>
      <w:r w:rsidR="0F4C1A65" w:rsidRPr="00CF0DF4">
        <w:rPr>
          <w:rFonts w:cs="Times New Roman"/>
          <w:lang w:val="en-US"/>
        </w:rPr>
        <w:t>(Heymsfield and Parrish 1978)</w:t>
      </w:r>
      <w:r w:rsidR="008C6CEE" w:rsidRPr="00CF0DF4">
        <w:rPr>
          <w:lang w:val="en-US"/>
        </w:rPr>
        <w:fldChar w:fldCharType="end"/>
      </w:r>
      <w:r w:rsidR="38E63A4B" w:rsidRPr="00CF0DF4">
        <w:rPr>
          <w:lang w:val="en-US"/>
        </w:rPr>
        <w:t>.</w:t>
      </w:r>
      <w:r w:rsidR="51F8670D" w:rsidRPr="00CF0DF4">
        <w:rPr>
          <w:lang w:val="en-US"/>
        </w:rPr>
        <w:t xml:space="preserve"> Because of the larger effective sample volume, the “reconstruction” method is used to process the HVPS3 data.</w:t>
      </w:r>
    </w:p>
    <w:p w14:paraId="253078D4" w14:textId="779E0778" w:rsidR="00E950E9" w:rsidRPr="00CF0DF4" w:rsidRDefault="00AB48BC" w:rsidP="00E950E9">
      <w:pPr>
        <w:pStyle w:val="Heading2"/>
        <w:rPr>
          <w:lang w:val="en-US"/>
        </w:rPr>
      </w:pPr>
      <w:bookmarkStart w:id="43" w:name="_Toc109123102"/>
      <w:r w:rsidRPr="00CF0DF4">
        <w:rPr>
          <w:lang w:val="en-US"/>
        </w:rPr>
        <w:t xml:space="preserve">2.4 </w:t>
      </w:r>
      <w:r w:rsidR="00E950E9" w:rsidRPr="00CF0DF4">
        <w:rPr>
          <w:lang w:val="en-US"/>
        </w:rPr>
        <w:t>Ice-bulb and Wet-bulb Temperature</w:t>
      </w:r>
      <w:bookmarkEnd w:id="43"/>
    </w:p>
    <w:p w14:paraId="27E8B783" w14:textId="56E6C156" w:rsidR="00FD75F9" w:rsidRPr="00CF0DF4" w:rsidRDefault="00FD75F9" w:rsidP="00FD75F9">
      <w:pPr>
        <w:pStyle w:val="Body"/>
        <w:rPr>
          <w:rFonts w:ascii="MS Mincho" w:eastAsia="DengXian" w:hAnsi="MS Mincho" w:cs="MS Mincho"/>
          <w:lang w:val="en-US"/>
        </w:rPr>
      </w:pPr>
      <w:r w:rsidRPr="00CF0DF4">
        <w:rPr>
          <w:lang w:val="en-US"/>
        </w:rPr>
        <w:t>The newly developed ADPAA module, bulbtemp,</w:t>
      </w:r>
      <w:r w:rsidR="00E34AF7" w:rsidRPr="00CF0DF4">
        <w:rPr>
          <w:lang w:val="en-US"/>
        </w:rPr>
        <w:t xml:space="preserve"> </w:t>
      </w:r>
      <w:r w:rsidRPr="00CF0DF4">
        <w:rPr>
          <w:lang w:val="en-US"/>
        </w:rPr>
        <w:t>uses</w:t>
      </w:r>
      <w:r w:rsidR="00E34AF7" w:rsidRPr="00CF0DF4">
        <w:rPr>
          <w:lang w:val="en-US"/>
        </w:rPr>
        <w:t xml:space="preserve"> </w:t>
      </w:r>
      <w:r w:rsidRPr="00CF0DF4">
        <w:rPr>
          <w:lang w:val="en-US"/>
        </w:rPr>
        <w:t>air temperature, dew point temperature</w:t>
      </w:r>
      <w:r w:rsidR="001C2288">
        <w:rPr>
          <w:lang w:val="en-US"/>
        </w:rPr>
        <w:t xml:space="preserve">, </w:t>
      </w:r>
      <w:r w:rsidRPr="00CF0DF4">
        <w:rPr>
          <w:lang w:val="en-US"/>
        </w:rPr>
        <w:t xml:space="preserve">and pressure to calculate the web-bulb and ice-bulb temperature. The difference between </w:t>
      </w:r>
      <w:r w:rsidR="00C8618B">
        <w:rPr>
          <w:lang w:val="en-US"/>
        </w:rPr>
        <w:t xml:space="preserve">the </w:t>
      </w:r>
      <w:r w:rsidRPr="00CF0DF4">
        <w:rPr>
          <w:lang w:val="en-US"/>
        </w:rPr>
        <w:t>wet-bulb and ice-bulb temperature is larger at lower pressure and relative humidity (</w:t>
      </w:r>
      <w:r w:rsidRPr="00CF0DF4">
        <w:rPr>
          <w:lang w:val="en-US"/>
        </w:rPr>
        <w:fldChar w:fldCharType="begin"/>
      </w:r>
      <w:r w:rsidRPr="00CF0DF4">
        <w:rPr>
          <w:lang w:val="en-US"/>
        </w:rPr>
        <w:instrText xml:space="preserve"> REF _Ref102728203 \h </w:instrText>
      </w:r>
      <w:r w:rsidRPr="00CF0DF4">
        <w:rPr>
          <w:lang w:val="en-US"/>
        </w:rPr>
      </w:r>
      <w:r w:rsidRPr="00CF0DF4">
        <w:rPr>
          <w:lang w:val="en-US"/>
        </w:rPr>
        <w:fldChar w:fldCharType="separate"/>
      </w:r>
      <w:r w:rsidR="00DB4BE3" w:rsidRPr="00CF0DF4">
        <w:t xml:space="preserve">Figure </w:t>
      </w:r>
      <w:r w:rsidR="00DB4BE3">
        <w:rPr>
          <w:noProof/>
        </w:rPr>
        <w:t>3</w:t>
      </w:r>
      <w:r w:rsidRPr="00CF0DF4">
        <w:rPr>
          <w:lang w:val="en-US"/>
        </w:rPr>
        <w:fldChar w:fldCharType="end"/>
      </w:r>
      <w:r w:rsidRPr="00CF0DF4">
        <w:rPr>
          <w:lang w:val="en-US"/>
        </w:rPr>
        <w:t xml:space="preserve">). At 100 percent relative humidity, the ice-bulb, wet-bulb, and air temperature are all equal. </w:t>
      </w:r>
      <w:r w:rsidR="00E31E84">
        <w:rPr>
          <w:lang w:val="en-US"/>
        </w:rPr>
        <w:t>Below</w:t>
      </w:r>
      <w:r w:rsidRPr="00CF0DF4">
        <w:rPr>
          <w:lang w:val="en-US"/>
        </w:rPr>
        <w:t xml:space="preserve"> 100 percent relative humidity, both the ice-bulb and wet-bulb temperature are </w:t>
      </w:r>
      <w:r w:rsidR="00194D61">
        <w:rPr>
          <w:lang w:val="en-US"/>
        </w:rPr>
        <w:t>l</w:t>
      </w:r>
      <w:r w:rsidR="00E31E84">
        <w:rPr>
          <w:lang w:val="en-US"/>
        </w:rPr>
        <w:t>ess than</w:t>
      </w:r>
      <w:r w:rsidRPr="00CF0DF4">
        <w:rPr>
          <w:lang w:val="en-US"/>
        </w:rPr>
        <w:t xml:space="preserve"> the air temperature, and the ice-bulb is always </w:t>
      </w:r>
      <w:r w:rsidR="00E31E84">
        <w:rPr>
          <w:lang w:val="en-US"/>
        </w:rPr>
        <w:t>less than</w:t>
      </w:r>
      <w:r w:rsidRPr="00CF0DF4">
        <w:rPr>
          <w:lang w:val="en-US"/>
        </w:rPr>
        <w:t xml:space="preserve"> the wet-bulb. For decreasing relative humidity, the wet-bulb and ice-bulb temperature continue to decrease relative to the air temperature. At 2 °C air temperature, the ice-bulb temperature is 0 °C at approximately 80 percent relative humidity for a pressure of 1,000 </w:t>
      </w:r>
      <w:proofErr w:type="spellStart"/>
      <w:r w:rsidRPr="00CF0DF4">
        <w:rPr>
          <w:lang w:val="en-US"/>
        </w:rPr>
        <w:t>hPa</w:t>
      </w:r>
      <w:proofErr w:type="spellEnd"/>
      <w:r w:rsidRPr="00CF0DF4">
        <w:rPr>
          <w:lang w:val="en-US"/>
        </w:rPr>
        <w:t xml:space="preserve">, whereas the ice-bulb temperature is 0 °C at </w:t>
      </w:r>
      <w:r w:rsidR="00B34D4D" w:rsidRPr="00CF0DF4">
        <w:rPr>
          <w:lang w:val="en-US"/>
        </w:rPr>
        <w:lastRenderedPageBreak/>
        <w:t>approximately</w:t>
      </w:r>
      <w:r w:rsidRPr="00CF0DF4">
        <w:rPr>
          <w:lang w:val="en-US"/>
        </w:rPr>
        <w:t xml:space="preserve"> 75 percent relative humidity for a pressure of </w:t>
      </w:r>
      <w:r w:rsidR="002D1A10">
        <w:rPr>
          <w:lang w:val="en-US"/>
        </w:rPr>
        <w:t>5</w:t>
      </w:r>
      <w:r w:rsidRPr="00CF0DF4">
        <w:rPr>
          <w:lang w:val="en-US"/>
        </w:rPr>
        <w:t xml:space="preserve">00 </w:t>
      </w:r>
      <w:proofErr w:type="spellStart"/>
      <w:r w:rsidRPr="00CF0DF4">
        <w:rPr>
          <w:lang w:val="en-US"/>
        </w:rPr>
        <w:t>hPa</w:t>
      </w:r>
      <w:proofErr w:type="spellEnd"/>
      <w:r w:rsidRPr="00CF0DF4">
        <w:rPr>
          <w:lang w:val="en-US"/>
        </w:rPr>
        <w:t xml:space="preserve">. Additional details on the bulbtemp module and the calculations are provided in Appendix A and </w:t>
      </w:r>
      <w:r w:rsidRPr="00CF0DF4">
        <w:rPr>
          <w:lang w:val="en-US"/>
        </w:rPr>
        <w:fldChar w:fldCharType="begin"/>
      </w:r>
      <w:r w:rsidRPr="00CF0DF4">
        <w:rPr>
          <w:lang w:val="en-US"/>
        </w:rPr>
        <w:instrText xml:space="preserve"> REF _Ref103925019 \h </w:instrText>
      </w:r>
      <w:r w:rsidRPr="00CF0DF4">
        <w:rPr>
          <w:lang w:val="en-US"/>
        </w:rPr>
      </w:r>
      <w:r w:rsidRPr="00CF0DF4">
        <w:rPr>
          <w:lang w:val="en-US"/>
        </w:rPr>
        <w:fldChar w:fldCharType="separate"/>
      </w:r>
      <w:r w:rsidR="00DB4BE3" w:rsidRPr="002F1E1B">
        <w:rPr>
          <w:lang w:val="en-US"/>
        </w:rPr>
        <w:t>Table A</w:t>
      </w:r>
      <w:r w:rsidR="00DB4BE3">
        <w:rPr>
          <w:noProof/>
          <w:lang w:val="en-US"/>
        </w:rPr>
        <w:t>1</w:t>
      </w:r>
      <w:r w:rsidRPr="00CF0DF4">
        <w:rPr>
          <w:lang w:val="en-US"/>
        </w:rPr>
        <w:fldChar w:fldCharType="end"/>
      </w:r>
      <w:r w:rsidRPr="00CF0DF4">
        <w:rPr>
          <w:lang w:val="en-US"/>
        </w:rPr>
        <w:t>.</w:t>
      </w:r>
    </w:p>
    <w:p w14:paraId="08BEF7EE" w14:textId="77777777" w:rsidR="00F71A37" w:rsidRPr="00CF0DF4" w:rsidRDefault="00F71A37" w:rsidP="00F71A37">
      <w:pPr>
        <w:pStyle w:val="Figure"/>
        <w:keepNext/>
        <w:rPr>
          <w:lang w:val="en-US"/>
        </w:rPr>
      </w:pPr>
      <w:r w:rsidRPr="00CF0DF4">
        <w:rPr>
          <w:noProof/>
          <w:lang w:val="en-US" w:eastAsia="en-US" w:bidi="ar-SA"/>
        </w:rPr>
        <w:drawing>
          <wp:inline distT="0" distB="0" distL="0" distR="0" wp14:anchorId="64FF1911" wp14:editId="721B70E1">
            <wp:extent cx="5905500"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5500" cy="2952750"/>
                    </a:xfrm>
                    <a:prstGeom prst="rect">
                      <a:avLst/>
                    </a:prstGeom>
                    <a:noFill/>
                    <a:ln>
                      <a:noFill/>
                    </a:ln>
                  </pic:spPr>
                </pic:pic>
              </a:graphicData>
            </a:graphic>
          </wp:inline>
        </w:drawing>
      </w:r>
    </w:p>
    <w:p w14:paraId="6640FC39" w14:textId="6941C935" w:rsidR="00F71A37" w:rsidRPr="00CF0DF4" w:rsidRDefault="00F71A37" w:rsidP="00245929">
      <w:pPr>
        <w:pStyle w:val="Caption-Figure"/>
      </w:pPr>
      <w:bookmarkStart w:id="44" w:name="_Ref102728203"/>
      <w:bookmarkStart w:id="45" w:name="_Ref102728194"/>
      <w:bookmarkStart w:id="46" w:name="_Toc109123116"/>
      <w:r w:rsidRPr="00CF0DF4">
        <w:t xml:space="preserve">Figure </w:t>
      </w:r>
      <w:r w:rsidRPr="00CF0DF4">
        <w:fldChar w:fldCharType="begin"/>
      </w:r>
      <w:r w:rsidRPr="00CF0DF4">
        <w:instrText>SEQ Figure \* ARABIC</w:instrText>
      </w:r>
      <w:r w:rsidRPr="00CF0DF4">
        <w:fldChar w:fldCharType="separate"/>
      </w:r>
      <w:r w:rsidR="00DB4BE3">
        <w:rPr>
          <w:noProof/>
        </w:rPr>
        <w:t>3</w:t>
      </w:r>
      <w:r w:rsidRPr="00CF0DF4">
        <w:fldChar w:fldCharType="end"/>
      </w:r>
      <w:bookmarkEnd w:id="44"/>
      <w:r w:rsidRPr="00CF0DF4">
        <w:t xml:space="preserve">: The ice-bulb temperature compared to wet-bulb temperature for </w:t>
      </w:r>
      <w:r w:rsidR="009B1421" w:rsidRPr="00CF0DF4">
        <w:t xml:space="preserve">varying </w:t>
      </w:r>
      <w:r w:rsidRPr="00CF0DF4">
        <w:t>air temperature</w:t>
      </w:r>
      <w:r w:rsidR="00CC47B4" w:rsidRPr="00CF0DF4">
        <w:t>s as a function of</w:t>
      </w:r>
      <w:r w:rsidRPr="00CF0DF4">
        <w:t xml:space="preserve"> relative humidity at 500 </w:t>
      </w:r>
      <w:proofErr w:type="spellStart"/>
      <w:r w:rsidRPr="00CF0DF4">
        <w:t>hPa</w:t>
      </w:r>
      <w:proofErr w:type="spellEnd"/>
      <w:r w:rsidRPr="00CF0DF4">
        <w:t xml:space="preserve"> (left) and 1,000 </w:t>
      </w:r>
      <w:proofErr w:type="spellStart"/>
      <w:r w:rsidRPr="00CF0DF4">
        <w:t>hPa</w:t>
      </w:r>
      <w:proofErr w:type="spellEnd"/>
      <w:r w:rsidRPr="00CF0DF4">
        <w:t xml:space="preserve"> (right)</w:t>
      </w:r>
      <w:bookmarkEnd w:id="45"/>
      <w:r w:rsidR="00185327" w:rsidRPr="00CF0DF4">
        <w:t>.</w:t>
      </w:r>
      <w:r w:rsidR="00077297" w:rsidRPr="00CF0DF4">
        <w:t xml:space="preserve"> The air temperature used to calculate the bulb temperatures </w:t>
      </w:r>
      <w:r w:rsidR="009B1421" w:rsidRPr="00CF0DF4">
        <w:t>uses integer values ranging</w:t>
      </w:r>
      <w:r w:rsidR="00077297" w:rsidRPr="00CF0DF4">
        <w:t xml:space="preserve"> from 0</w:t>
      </w:r>
      <w:r w:rsidR="00C44BCB" w:rsidRPr="00CF0DF4">
        <w:t xml:space="preserve"> °C</w:t>
      </w:r>
      <w:r w:rsidR="00077297" w:rsidRPr="00CF0DF4">
        <w:t xml:space="preserve"> to </w:t>
      </w:r>
      <w:r w:rsidR="00F93D82" w:rsidRPr="00CF0DF4">
        <w:t>4</w:t>
      </w:r>
      <w:r w:rsidR="00077297" w:rsidRPr="00CF0DF4">
        <w:t xml:space="preserve"> °C</w:t>
      </w:r>
      <w:r w:rsidR="006360B4" w:rsidRPr="00CF0DF4">
        <w:t xml:space="preserve"> at 1 °C intervals</w:t>
      </w:r>
      <w:r w:rsidR="009B1421" w:rsidRPr="00CF0DF4">
        <w:t xml:space="preserve"> (top to bottom line series in each plot).</w:t>
      </w:r>
      <w:bookmarkEnd w:id="46"/>
    </w:p>
    <w:p w14:paraId="18F77D5F" w14:textId="7787F732" w:rsidR="005A2DD1" w:rsidRPr="00CF0DF4" w:rsidRDefault="005A2DD1" w:rsidP="005A2DD1">
      <w:pPr>
        <w:pStyle w:val="Body"/>
        <w:rPr>
          <w:lang w:val="en-US"/>
        </w:rPr>
      </w:pPr>
      <w:r w:rsidRPr="00CF0DF4">
        <w:rPr>
          <w:lang w:val="en-US"/>
        </w:rPr>
        <w:t>The 0 °C ice-bulb temperature is used to define the top of the melting layer (</w:t>
      </w:r>
      <w:r w:rsidRPr="00CF0DF4">
        <w:rPr>
          <w:lang w:val="en-US"/>
        </w:rPr>
        <w:fldChar w:fldCharType="begin"/>
      </w:r>
      <w:r w:rsidRPr="00CF0DF4">
        <w:rPr>
          <w:lang w:val="en-US"/>
        </w:rPr>
        <w:instrText xml:space="preserve"> REF _Ref102729456 \h </w:instrText>
      </w:r>
      <w:r w:rsidRPr="00CF0DF4">
        <w:rPr>
          <w:lang w:val="en-US"/>
        </w:rPr>
      </w:r>
      <w:r w:rsidRPr="00CF0DF4">
        <w:rPr>
          <w:lang w:val="en-US"/>
        </w:rPr>
        <w:fldChar w:fldCharType="separate"/>
      </w:r>
      <w:r w:rsidR="00DB4BE3" w:rsidRPr="00CF0DF4">
        <w:t xml:space="preserve">Figure </w:t>
      </w:r>
      <w:r w:rsidR="00DB4BE3">
        <w:rPr>
          <w:noProof/>
        </w:rPr>
        <w:t>4</w:t>
      </w:r>
      <w:r w:rsidRPr="00CF0DF4">
        <w:rPr>
          <w:lang w:val="en-US"/>
        </w:rPr>
        <w:fldChar w:fldCharType="end"/>
      </w:r>
      <w:r w:rsidRPr="00CF0DF4">
        <w:rPr>
          <w:lang w:val="en-US"/>
        </w:rPr>
        <w:t xml:space="preserve">). </w:t>
      </w:r>
      <w:r w:rsidR="00781424">
        <w:rPr>
          <w:lang w:val="en-US"/>
        </w:rPr>
        <w:t>Hydrometeors</w:t>
      </w:r>
      <w:r w:rsidRPr="00CF0DF4">
        <w:rPr>
          <w:lang w:val="en-US"/>
        </w:rPr>
        <w:t xml:space="preserve"> in an environment with an air temperature is above 0 °C and the ice-bulb temperature below 0 °C will sublimate (colored in blue in </w:t>
      </w:r>
      <w:r w:rsidRPr="00CF0DF4">
        <w:rPr>
          <w:lang w:val="en-US"/>
        </w:rPr>
        <w:fldChar w:fldCharType="begin"/>
      </w:r>
      <w:r w:rsidRPr="00CF0DF4">
        <w:rPr>
          <w:lang w:val="en-US"/>
        </w:rPr>
        <w:instrText xml:space="preserve"> REF _Ref102729456 \h </w:instrText>
      </w:r>
      <w:r w:rsidRPr="00CF0DF4">
        <w:rPr>
          <w:lang w:val="en-US"/>
        </w:rPr>
      </w:r>
      <w:r w:rsidRPr="00CF0DF4">
        <w:rPr>
          <w:lang w:val="en-US"/>
        </w:rPr>
        <w:fldChar w:fldCharType="separate"/>
      </w:r>
      <w:r w:rsidR="00DB4BE3" w:rsidRPr="00CF0DF4">
        <w:t xml:space="preserve">Figure </w:t>
      </w:r>
      <w:r w:rsidR="00DB4BE3">
        <w:rPr>
          <w:noProof/>
        </w:rPr>
        <w:t>4</w:t>
      </w:r>
      <w:r w:rsidRPr="00CF0DF4">
        <w:rPr>
          <w:lang w:val="en-US"/>
        </w:rPr>
        <w:fldChar w:fldCharType="end"/>
      </w:r>
      <w:r w:rsidRPr="00CF0DF4">
        <w:rPr>
          <w:lang w:val="en-US"/>
        </w:rPr>
        <w:t xml:space="preserve">). With increasing relative humidity, the air temperature at the 0 °C ice-bulb isotherm decreases. In dry conditions as low as 20 percent relative humidity at 500 </w:t>
      </w:r>
      <w:proofErr w:type="spellStart"/>
      <w:r w:rsidRPr="00CF0DF4">
        <w:rPr>
          <w:lang w:val="en-US"/>
        </w:rPr>
        <w:t>hPa</w:t>
      </w:r>
      <w:proofErr w:type="spellEnd"/>
      <w:r w:rsidRPr="00CF0DF4">
        <w:rPr>
          <w:lang w:val="en-US"/>
        </w:rPr>
        <w:t xml:space="preserve">, snow will continue to sublimate until almost 10 °C. Conversely, at 1,000 </w:t>
      </w:r>
      <w:proofErr w:type="spellStart"/>
      <w:r w:rsidRPr="00CF0DF4">
        <w:rPr>
          <w:lang w:val="en-US"/>
        </w:rPr>
        <w:t>hPa</w:t>
      </w:r>
      <w:proofErr w:type="spellEnd"/>
      <w:r w:rsidRPr="00CF0DF4">
        <w:rPr>
          <w:lang w:val="en-US"/>
        </w:rPr>
        <w:t xml:space="preserve"> and 20 percent relative humidity, snow will sublimate until almost 6 °C. </w:t>
      </w:r>
    </w:p>
    <w:p w14:paraId="49B075B0" w14:textId="77777777" w:rsidR="007A22D8" w:rsidRPr="00CF0DF4" w:rsidRDefault="007A22D8" w:rsidP="007A22D8">
      <w:pPr>
        <w:pStyle w:val="Figure"/>
        <w:keepNext/>
        <w:rPr>
          <w:lang w:val="en-US"/>
        </w:rPr>
      </w:pPr>
      <w:r w:rsidRPr="00CF0DF4">
        <w:rPr>
          <w:noProof/>
          <w:lang w:val="en-US" w:eastAsia="en-US" w:bidi="ar-SA"/>
        </w:rPr>
        <w:lastRenderedPageBreak/>
        <w:drawing>
          <wp:inline distT="0" distB="0" distL="0" distR="0" wp14:anchorId="44FE0EFD" wp14:editId="0B5F4F67">
            <wp:extent cx="5943600" cy="4078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7" t="7750" r="8309" b="4594"/>
                    <a:stretch/>
                  </pic:blipFill>
                  <pic:spPr bwMode="auto">
                    <a:xfrm>
                      <a:off x="0" y="0"/>
                      <a:ext cx="5943600" cy="4078224"/>
                    </a:xfrm>
                    <a:prstGeom prst="rect">
                      <a:avLst/>
                    </a:prstGeom>
                    <a:noFill/>
                    <a:ln>
                      <a:noFill/>
                    </a:ln>
                    <a:extLst>
                      <a:ext uri="{53640926-AAD7-44D8-BBD7-CCE9431645EC}">
                        <a14:shadowObscured xmlns:a14="http://schemas.microsoft.com/office/drawing/2010/main"/>
                      </a:ext>
                    </a:extLst>
                  </pic:spPr>
                </pic:pic>
              </a:graphicData>
            </a:graphic>
          </wp:inline>
        </w:drawing>
      </w:r>
    </w:p>
    <w:p w14:paraId="3AA4DC36" w14:textId="093D11D9" w:rsidR="002D4A01" w:rsidRPr="00CF0DF4" w:rsidRDefault="007A22D8" w:rsidP="00245929">
      <w:pPr>
        <w:pStyle w:val="Caption-Figure"/>
      </w:pPr>
      <w:bookmarkStart w:id="47" w:name="_Ref102729456"/>
      <w:bookmarkStart w:id="48" w:name="_Ref102729453"/>
      <w:bookmarkStart w:id="49" w:name="_Toc109123117"/>
      <w:r w:rsidRPr="00CF0DF4">
        <w:t xml:space="preserve">Figure </w:t>
      </w:r>
      <w:r w:rsidRPr="00CF0DF4">
        <w:fldChar w:fldCharType="begin"/>
      </w:r>
      <w:r w:rsidRPr="00CF0DF4">
        <w:instrText>SEQ Figure \* ARABIC</w:instrText>
      </w:r>
      <w:r w:rsidRPr="00CF0DF4">
        <w:fldChar w:fldCharType="separate"/>
      </w:r>
      <w:r w:rsidR="00DB4BE3">
        <w:rPr>
          <w:noProof/>
        </w:rPr>
        <w:t>4</w:t>
      </w:r>
      <w:r w:rsidRPr="00CF0DF4">
        <w:fldChar w:fldCharType="end"/>
      </w:r>
      <w:bookmarkEnd w:id="47"/>
      <w:r w:rsidRPr="00CF0DF4">
        <w:t xml:space="preserve">: </w:t>
      </w:r>
      <w:bookmarkEnd w:id="48"/>
      <w:r w:rsidR="00346103" w:rsidRPr="00CF0DF4">
        <w:t xml:space="preserve">The 0 °C ice-bulb isotherm (black line) at </w:t>
      </w:r>
      <w:r w:rsidR="00502A1F" w:rsidRPr="00CF0DF4">
        <w:t>1,000</w:t>
      </w:r>
      <w:r w:rsidR="00346103" w:rsidRPr="00CF0DF4">
        <w:t xml:space="preserve"> </w:t>
      </w:r>
      <w:proofErr w:type="spellStart"/>
      <w:r w:rsidR="00346103" w:rsidRPr="00CF0DF4">
        <w:t>hPa</w:t>
      </w:r>
      <w:proofErr w:type="spellEnd"/>
      <w:r w:rsidR="00346103" w:rsidRPr="00CF0DF4">
        <w:t xml:space="preserve"> (left) and</w:t>
      </w:r>
      <w:r w:rsidR="00502A1F" w:rsidRPr="00CF0DF4">
        <w:t xml:space="preserve"> 500</w:t>
      </w:r>
      <w:r w:rsidR="00346103" w:rsidRPr="00CF0DF4">
        <w:t xml:space="preserve"> </w:t>
      </w:r>
      <w:proofErr w:type="spellStart"/>
      <w:r w:rsidR="00346103" w:rsidRPr="00CF0DF4">
        <w:t>hPa</w:t>
      </w:r>
      <w:proofErr w:type="spellEnd"/>
      <w:r w:rsidR="00346103" w:rsidRPr="00CF0DF4">
        <w:t xml:space="preserve"> (right).</w:t>
      </w:r>
      <w:bookmarkEnd w:id="49"/>
      <w:r w:rsidR="002D4A01" w:rsidRPr="00CF0DF4">
        <w:rPr>
          <w:rFonts w:ascii="Liberation Serif" w:hAnsi="Liberation Serif"/>
          <w:color w:val="000000"/>
        </w:rPr>
        <w:br w:type="page"/>
      </w:r>
    </w:p>
    <w:p w14:paraId="57AD3630" w14:textId="2D9C10C6" w:rsidR="00251FB8" w:rsidRPr="00CF0DF4" w:rsidRDefault="1DB978BA" w:rsidP="00592FF5">
      <w:pPr>
        <w:pStyle w:val="Heading1"/>
        <w:rPr>
          <w:lang w:val="en-US"/>
        </w:rPr>
      </w:pPr>
      <w:bookmarkStart w:id="50" w:name="_Toc109123103"/>
      <w:bookmarkStart w:id="51" w:name="__RefHeading___Toc10952_315254120"/>
      <w:r w:rsidRPr="00CF0DF4">
        <w:rPr>
          <w:lang w:val="en-US"/>
        </w:rPr>
        <w:lastRenderedPageBreak/>
        <w:t>CHAPTER 3</w:t>
      </w:r>
      <w:r w:rsidR="002D4A01" w:rsidRPr="00CF0DF4">
        <w:rPr>
          <w:lang w:val="en-US"/>
        </w:rPr>
        <w:br/>
      </w:r>
      <w:r w:rsidR="50CBFFE3" w:rsidRPr="00CF0DF4">
        <w:rPr>
          <w:lang w:val="en-US"/>
        </w:rPr>
        <w:t>METHODOLOGY</w:t>
      </w:r>
      <w:bookmarkEnd w:id="50"/>
    </w:p>
    <w:bookmarkEnd w:id="51"/>
    <w:p w14:paraId="3C281BA0" w14:textId="21053BA3" w:rsidR="00945591" w:rsidRPr="00CF0DF4" w:rsidRDefault="00945591" w:rsidP="00945591">
      <w:pPr>
        <w:pStyle w:val="Body"/>
        <w:rPr>
          <w:lang w:val="en-US"/>
        </w:rPr>
      </w:pPr>
      <w:r w:rsidRPr="00CF0DF4">
        <w:rPr>
          <w:lang w:val="en-US"/>
        </w:rPr>
        <w:t xml:space="preserve">A melting layer profile is obtained by a continuous vertical measurement of </w:t>
      </w:r>
      <w:r w:rsidR="00781424">
        <w:rPr>
          <w:lang w:val="en-US"/>
        </w:rPr>
        <w:t>hydrometeors</w:t>
      </w:r>
      <w:r w:rsidRPr="00CF0DF4">
        <w:rPr>
          <w:lang w:val="en-US"/>
        </w:rPr>
        <w:t xml:space="preserve"> that undergo melting. Melting layer profiles are restricted to in-situ sampling during aircraft ascents and descents to eliminate horizontal sampling of </w:t>
      </w:r>
      <w:r w:rsidR="00781424">
        <w:rPr>
          <w:lang w:val="en-US"/>
        </w:rPr>
        <w:t>hydrometeors</w:t>
      </w:r>
      <w:r w:rsidRPr="00CF0DF4">
        <w:rPr>
          <w:lang w:val="en-US"/>
        </w:rPr>
        <w:t xml:space="preserve"> that appear to transition in phase even though is no vertical layer of melting. Additionally, restricting melting layer profiles to ascents and descents reduces sampling of horizontal cloud variability. Potential melting layer profiles are determined for each aircraft flight by reviewing microphysics and thermodynamic probe measurements.</w:t>
      </w:r>
      <w:r w:rsidR="00F21EB1">
        <w:rPr>
          <w:lang w:val="en-US"/>
        </w:rPr>
        <w:t xml:space="preserve"> </w:t>
      </w:r>
      <w:r w:rsidRPr="00CF0DF4">
        <w:rPr>
          <w:lang w:val="en-US"/>
        </w:rPr>
        <w:t xml:space="preserve">A total </w:t>
      </w:r>
      <w:r w:rsidR="00781424">
        <w:rPr>
          <w:lang w:val="en-US"/>
        </w:rPr>
        <w:t>hydrometeor</w:t>
      </w:r>
      <w:r w:rsidRPr="00CF0DF4">
        <w:rPr>
          <w:lang w:val="en-US"/>
        </w:rPr>
        <w:t xml:space="preserve"> concentration of 10</w:t>
      </w:r>
      <w:r w:rsidRPr="00CF0DF4">
        <w:rPr>
          <w:vertAlign w:val="superscript"/>
          <w:lang w:val="en-US"/>
        </w:rPr>
        <w:t>3</w:t>
      </w:r>
      <w:r w:rsidRPr="00CF0DF4">
        <w:rPr>
          <w:lang w:val="en-US"/>
        </w:rPr>
        <w:t xml:space="preserve"> #/m</w:t>
      </w:r>
      <w:r w:rsidRPr="00CF0DF4">
        <w:rPr>
          <w:vertAlign w:val="superscript"/>
          <w:lang w:val="en-US"/>
        </w:rPr>
        <w:t>−4</w:t>
      </w:r>
      <w:r w:rsidRPr="00CF0DF4">
        <w:rPr>
          <w:lang w:val="en-US"/>
        </w:rPr>
        <w:t xml:space="preserve"> measured by optical array probes is the minimum in-cloud threshold </w:t>
      </w:r>
      <w:r w:rsidR="00F62A0C" w:rsidRPr="00CF0DF4">
        <w:rPr>
          <w:lang w:val="en-US"/>
        </w:rPr>
        <w:t>throughout the melting layer</w:t>
      </w:r>
      <w:r w:rsidR="00F036A3" w:rsidRPr="00CF0DF4">
        <w:rPr>
          <w:rStyle w:val="CommentReference"/>
          <w:rFonts w:ascii="Liberation Serif" w:eastAsia="NSimSun" w:hAnsi="Liberation Serif" w:cs="Mangal"/>
          <w:lang w:val="en-US"/>
        </w:rPr>
        <w:t>.</w:t>
      </w:r>
    </w:p>
    <w:p w14:paraId="69B8ADAD" w14:textId="797F823F" w:rsidR="00945591" w:rsidRPr="00CF0DF4" w:rsidRDefault="00945591" w:rsidP="00945591">
      <w:pPr>
        <w:pStyle w:val="Body"/>
        <w:rPr>
          <w:lang w:val="en-US"/>
        </w:rPr>
      </w:pPr>
      <w:r w:rsidRPr="00CF0DF4">
        <w:rPr>
          <w:lang w:val="en-US"/>
        </w:rPr>
        <w:t xml:space="preserve">The melting layer depth is the vertical distance between the 0 °C ice-bulb isotherm and the altitude where all </w:t>
      </w:r>
      <w:r w:rsidR="00781424">
        <w:rPr>
          <w:lang w:val="en-US"/>
        </w:rPr>
        <w:t>hydrometeors</w:t>
      </w:r>
      <w:r w:rsidRPr="00CF0DF4">
        <w:rPr>
          <w:lang w:val="en-US"/>
        </w:rPr>
        <w:t xml:space="preserve"> are fully melted. </w:t>
      </w:r>
      <w:r w:rsidR="00781424">
        <w:rPr>
          <w:lang w:val="en-US"/>
        </w:rPr>
        <w:t>Hydrometeors</w:t>
      </w:r>
      <w:r w:rsidRPr="00CF0DF4">
        <w:rPr>
          <w:lang w:val="en-US"/>
        </w:rPr>
        <w:t xml:space="preserve"> sublimate in regions where the air temperature is above 0 °C and the ice-bulb temperature is below 0 °C, while </w:t>
      </w:r>
      <w:r w:rsidR="00781424">
        <w:rPr>
          <w:lang w:val="en-US"/>
        </w:rPr>
        <w:t>hydrometeor</w:t>
      </w:r>
      <w:r w:rsidRPr="00CF0DF4">
        <w:rPr>
          <w:lang w:val="en-US"/>
        </w:rPr>
        <w:t xml:space="preserve"> melt where</w:t>
      </w:r>
      <w:r w:rsidR="004A4841" w:rsidRPr="00CF0DF4">
        <w:rPr>
          <w:lang w:val="en-US"/>
        </w:rPr>
        <w:t xml:space="preserve"> both</w:t>
      </w:r>
      <w:r w:rsidRPr="00CF0DF4">
        <w:rPr>
          <w:lang w:val="en-US"/>
        </w:rPr>
        <w:t xml:space="preserve"> the air temperature</w:t>
      </w:r>
      <w:r w:rsidR="004A4841" w:rsidRPr="00CF0DF4">
        <w:rPr>
          <w:lang w:val="en-US"/>
        </w:rPr>
        <w:t xml:space="preserve"> and ice-bulb temperature are above 0 °C </w:t>
      </w:r>
      <w:r w:rsidRPr="00CF0DF4">
        <w:rPr>
          <w:lang w:val="en-US"/>
        </w:rPr>
        <w:t>(</w:t>
      </w:r>
      <w:r w:rsidRPr="00CF0DF4">
        <w:rPr>
          <w:lang w:val="en-US"/>
        </w:rPr>
        <w:fldChar w:fldCharType="begin"/>
      </w:r>
      <w:r w:rsidRPr="00CF0DF4">
        <w:rPr>
          <w:lang w:val="en-US"/>
        </w:rPr>
        <w:instrText xml:space="preserve"> REF _Ref102729456 \h </w:instrText>
      </w:r>
      <w:r w:rsidRPr="00CF0DF4">
        <w:rPr>
          <w:lang w:val="en-US"/>
        </w:rPr>
      </w:r>
      <w:r w:rsidRPr="00CF0DF4">
        <w:rPr>
          <w:lang w:val="en-US"/>
        </w:rPr>
        <w:fldChar w:fldCharType="separate"/>
      </w:r>
      <w:r w:rsidR="00DB4BE3" w:rsidRPr="00CF0DF4">
        <w:t xml:space="preserve">Figure </w:t>
      </w:r>
      <w:r w:rsidR="00DB4BE3">
        <w:rPr>
          <w:noProof/>
        </w:rPr>
        <w:t>4</w:t>
      </w:r>
      <w:r w:rsidRPr="00CF0DF4">
        <w:rPr>
          <w:lang w:val="en-US"/>
        </w:rPr>
        <w:fldChar w:fldCharType="end"/>
      </w:r>
      <w:r w:rsidRPr="00CF0DF4">
        <w:rPr>
          <w:lang w:val="en-US"/>
        </w:rPr>
        <w:t xml:space="preserve">). </w:t>
      </w:r>
      <w:r w:rsidR="00781424">
        <w:rPr>
          <w:lang w:val="en-US"/>
        </w:rPr>
        <w:t>Hydrometeor</w:t>
      </w:r>
      <w:r w:rsidRPr="00CF0DF4">
        <w:rPr>
          <w:lang w:val="en-US"/>
        </w:rPr>
        <w:t xml:space="preserve"> images from optical array probes do not show the details necessary to determine if </w:t>
      </w:r>
      <w:r w:rsidR="00781424">
        <w:rPr>
          <w:lang w:val="en-US"/>
        </w:rPr>
        <w:t>hydrometeors</w:t>
      </w:r>
      <w:r w:rsidRPr="00CF0DF4">
        <w:rPr>
          <w:lang w:val="en-US"/>
        </w:rPr>
        <w:t xml:space="preserve"> are starting to melt at the melting layer top. However, optical array probe images can be used to determine the melting layer bottom. The “melted” location is when the </w:t>
      </w:r>
      <w:r w:rsidR="00781424">
        <w:rPr>
          <w:lang w:val="en-US"/>
        </w:rPr>
        <w:t>hydrometeor</w:t>
      </w:r>
      <w:r w:rsidRPr="00CF0DF4">
        <w:rPr>
          <w:lang w:val="en-US"/>
        </w:rPr>
        <w:t xml:space="preserve"> images first indicate fully rounded </w:t>
      </w:r>
      <w:r w:rsidR="00781424">
        <w:rPr>
          <w:lang w:val="en-US"/>
        </w:rPr>
        <w:t>hydrometeors</w:t>
      </w:r>
      <w:r w:rsidRPr="00CF0DF4">
        <w:rPr>
          <w:lang w:val="en-US"/>
        </w:rPr>
        <w:t xml:space="preserve"> with no jagged edges. As noted by </w:t>
      </w:r>
      <w:r w:rsidRPr="00CF0DF4">
        <w:rPr>
          <w:lang w:val="en-US"/>
        </w:rPr>
        <w:fldChar w:fldCharType="begin"/>
      </w:r>
      <w:r w:rsidRPr="00CF0DF4">
        <w:rPr>
          <w:lang w:val="en-US"/>
        </w:rPr>
        <w:instrText xml:space="preserve"> ADDIN ZOTERO_ITEM CSL_CITATION {"citationID":"NVARbjQX","properties":{"formattedCitation":"(Heymsfield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lang w:val="en-US"/>
        </w:rPr>
        <w:fldChar w:fldCharType="separate"/>
      </w:r>
      <w:r w:rsidRPr="00CF0DF4">
        <w:rPr>
          <w:rFonts w:cs="Times New Roman"/>
          <w:lang w:val="en-US"/>
        </w:rPr>
        <w:t>Heymsfield et al. (2021)</w:t>
      </w:r>
      <w:r w:rsidRPr="00CF0DF4">
        <w:rPr>
          <w:lang w:val="en-US"/>
        </w:rPr>
        <w:fldChar w:fldCharType="end"/>
      </w:r>
      <w:r w:rsidRPr="00CF0DF4">
        <w:rPr>
          <w:lang w:val="en-US"/>
        </w:rPr>
        <w:t xml:space="preserve">, manually identifying fully melted </w:t>
      </w:r>
      <w:r w:rsidR="00781424">
        <w:rPr>
          <w:lang w:val="en-US"/>
        </w:rPr>
        <w:t>hydrometeors</w:t>
      </w:r>
      <w:r w:rsidRPr="00CF0DF4">
        <w:rPr>
          <w:lang w:val="en-US"/>
        </w:rPr>
        <w:t xml:space="preserve"> is preferred as an automated </w:t>
      </w:r>
      <w:r w:rsidR="00781424">
        <w:rPr>
          <w:lang w:val="en-US"/>
        </w:rPr>
        <w:t>hydrometeor</w:t>
      </w:r>
      <w:r w:rsidRPr="00CF0DF4">
        <w:rPr>
          <w:lang w:val="en-US"/>
        </w:rPr>
        <w:t xml:space="preserve"> detection method may result in error as the distinguishing factors between melted and non-melted hydrometeors </w:t>
      </w:r>
      <w:r w:rsidR="00872575">
        <w:rPr>
          <w:lang w:val="en-US"/>
        </w:rPr>
        <w:t>are</w:t>
      </w:r>
      <w:r w:rsidRPr="00CF0DF4">
        <w:rPr>
          <w:lang w:val="en-US"/>
        </w:rPr>
        <w:t xml:space="preserve"> somewhat arbitrary. Manual identification is still inherent uncertainty as laboratory experiments indicated that ice may be contained within a round drop (e.g., </w:t>
      </w:r>
      <w:r w:rsidRPr="00CF0DF4">
        <w:rPr>
          <w:lang w:val="en-US"/>
        </w:rPr>
        <w:fldChar w:fldCharType="begin"/>
      </w:r>
      <w:r w:rsidRPr="00CF0DF4">
        <w:rPr>
          <w:lang w:val="en-US"/>
        </w:rPr>
        <w:instrText xml:space="preserve"> ADDIN ZOTERO_ITEM CSL_CITATION {"citationID":"FHrapRod","properties":{"formattedCitation":"(Matsuo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{"citationID":"hg6jV5bt","properties":{"formattedCitation":"(Heymsfield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lang w:val="en-US"/>
        </w:rPr>
        <w:fldChar w:fldCharType="separate"/>
      </w:r>
      <w:r w:rsidRPr="00CF0DF4">
        <w:rPr>
          <w:rFonts w:cs="Times New Roman"/>
          <w:lang w:val="en-US"/>
        </w:rPr>
        <w:t>Heymsfield et al. (2021)</w:t>
      </w:r>
      <w:r w:rsidRPr="00CF0DF4">
        <w:rPr>
          <w:lang w:val="en-US"/>
        </w:rPr>
        <w:fldChar w:fldCharType="end"/>
      </w:r>
      <w:r w:rsidRPr="00CF0DF4">
        <w:rPr>
          <w:lang w:val="en-US"/>
        </w:rPr>
        <w:t xml:space="preserve"> indicated that area ratio obtained from probe images is a </w:t>
      </w:r>
      <w:r w:rsidRPr="00CF0DF4">
        <w:rPr>
          <w:lang w:val="en-US"/>
        </w:rPr>
        <w:lastRenderedPageBreak/>
        <w:t xml:space="preserve">potential identifier of melted </w:t>
      </w:r>
      <w:r w:rsidR="00781424">
        <w:rPr>
          <w:lang w:val="en-US"/>
        </w:rPr>
        <w:t>hydrometeor</w:t>
      </w:r>
      <w:r w:rsidRPr="00CF0DF4">
        <w:rPr>
          <w:lang w:val="en-US"/>
        </w:rPr>
        <w:t>; therefore, area ratio is compared to manual identification to determine consistency in identifying the melting layer bottom.</w:t>
      </w:r>
    </w:p>
    <w:p w14:paraId="1700FDD4" w14:textId="5DFF99C8" w:rsidR="00AB3525" w:rsidRPr="00CF0DF4" w:rsidRDefault="00945591" w:rsidP="00AB3525">
      <w:pPr>
        <w:pStyle w:val="Body"/>
        <w:rPr>
          <w:lang w:val="en-US"/>
        </w:rPr>
      </w:pPr>
      <w:r w:rsidRPr="00CF0DF4">
        <w:rPr>
          <w:lang w:val="en-US"/>
        </w:rPr>
        <w:fldChar w:fldCharType="begin"/>
      </w:r>
      <w:r w:rsidRPr="00CF0DF4">
        <w:rPr>
          <w:lang w:val="en-US"/>
        </w:rPr>
        <w:instrText xml:space="preserve"> REF _Ref102216178 \h </w:instrText>
      </w:r>
      <w:r w:rsidRPr="00CF0DF4">
        <w:rPr>
          <w:lang w:val="en-US"/>
        </w:rPr>
      </w:r>
      <w:r w:rsidRPr="00CF0DF4">
        <w:rPr>
          <w:lang w:val="en-US"/>
        </w:rPr>
        <w:fldChar w:fldCharType="separate"/>
      </w:r>
      <w:r w:rsidR="00DB4BE3" w:rsidRPr="00CF0DF4">
        <w:t xml:space="preserve">Figure </w:t>
      </w:r>
      <w:r w:rsidR="00DB4BE3">
        <w:rPr>
          <w:noProof/>
        </w:rPr>
        <w:t>5</w:t>
      </w:r>
      <w:r w:rsidRPr="00CF0DF4">
        <w:rPr>
          <w:lang w:val="en-US"/>
        </w:rPr>
        <w:fldChar w:fldCharType="end"/>
      </w:r>
      <w:r w:rsidRPr="00CF0DF4">
        <w:rPr>
          <w:lang w:val="en-US"/>
        </w:rPr>
        <w:t xml:space="preserve"> shows an example profile of a melting layer that fulfills all the melting layer criteria. </w:t>
      </w:r>
      <w:r w:rsidR="00AB3525" w:rsidRPr="00CF0DF4">
        <w:rPr>
          <w:lang w:val="en-US"/>
        </w:rPr>
        <w:t>The aircraft descend</w:t>
      </w:r>
      <w:r w:rsidR="00AB3525">
        <w:rPr>
          <w:lang w:val="en-US"/>
        </w:rPr>
        <w:t>ed</w:t>
      </w:r>
      <w:r w:rsidR="00AB3525" w:rsidRPr="00CF0DF4">
        <w:rPr>
          <w:lang w:val="en-US"/>
        </w:rPr>
        <w:t xml:space="preserve"> through </w:t>
      </w:r>
      <w:r w:rsidR="00AB3525">
        <w:rPr>
          <w:lang w:val="en-US"/>
        </w:rPr>
        <w:t>increasing</w:t>
      </w:r>
      <w:r w:rsidR="00AB3525" w:rsidRPr="00CF0DF4">
        <w:rPr>
          <w:lang w:val="en-US"/>
        </w:rPr>
        <w:t xml:space="preserve"> temperature near the 0 °C isotherm and had HVPS3 probe concentrations above 10</w:t>
      </w:r>
      <w:r w:rsidR="00AB3525" w:rsidRPr="00CF0DF4">
        <w:rPr>
          <w:vertAlign w:val="superscript"/>
          <w:lang w:val="en-US"/>
        </w:rPr>
        <w:t>3</w:t>
      </w:r>
      <w:r w:rsidR="00AB3525" w:rsidRPr="00CF0DF4">
        <w:rPr>
          <w:lang w:val="en-US"/>
        </w:rPr>
        <w:t xml:space="preserve"> #/m</w:t>
      </w:r>
      <w:r w:rsidR="00AB3525" w:rsidRPr="00CF0DF4">
        <w:rPr>
          <w:rFonts w:cs="Times New Roman"/>
          <w:vertAlign w:val="superscript"/>
          <w:lang w:val="en-US"/>
        </w:rPr>
        <w:t>-</w:t>
      </w:r>
      <w:r w:rsidR="00AB3525" w:rsidRPr="00CF0DF4">
        <w:rPr>
          <w:vertAlign w:val="superscript"/>
          <w:lang w:val="en-US"/>
        </w:rPr>
        <w:t>4</w:t>
      </w:r>
      <w:r w:rsidR="00AB3525" w:rsidRPr="00CF0DF4">
        <w:rPr>
          <w:lang w:val="en-US"/>
        </w:rPr>
        <w:t xml:space="preserve"> for the entire profile. The ice-bulb temperature exceeds 0 °C, indicating melting. Additionally, the profile of the ice-bulb temperature is very similar to that of the air temperature, suggesting that the environment is saturated with the relative humidity at or near 100 percent for </w:t>
      </w:r>
      <w:proofErr w:type="gramStart"/>
      <w:r w:rsidR="00AB3525" w:rsidRPr="00CF0DF4">
        <w:rPr>
          <w:lang w:val="en-US"/>
        </w:rPr>
        <w:t>the majority of</w:t>
      </w:r>
      <w:proofErr w:type="gramEnd"/>
      <w:r w:rsidR="00AB3525" w:rsidRPr="00CF0DF4">
        <w:rPr>
          <w:lang w:val="en-US"/>
        </w:rPr>
        <w:t xml:space="preserve"> the descent. Flights from several field campaigns (</w:t>
      </w:r>
      <w:r w:rsidR="00AB3525" w:rsidRPr="00CF0DF4">
        <w:rPr>
          <w:lang w:val="en-US"/>
        </w:rPr>
        <w:fldChar w:fldCharType="begin"/>
      </w:r>
      <w:r w:rsidR="00AB3525" w:rsidRPr="00CF0DF4">
        <w:rPr>
          <w:lang w:val="en-US"/>
        </w:rPr>
        <w:instrText xml:space="preserve"> REF _Ref106170499 \h </w:instrText>
      </w:r>
      <w:r w:rsidR="00AB3525" w:rsidRPr="00CF0DF4">
        <w:rPr>
          <w:lang w:val="en-US"/>
        </w:rPr>
      </w:r>
      <w:r w:rsidR="00AB3525" w:rsidRPr="00CF0DF4">
        <w:rPr>
          <w:lang w:val="en-US"/>
        </w:rPr>
        <w:fldChar w:fldCharType="separate"/>
      </w:r>
      <w:r w:rsidR="00DB4BE3" w:rsidRPr="00CF0DF4">
        <w:rPr>
          <w:lang w:val="en-US"/>
        </w:rPr>
        <w:t xml:space="preserve">Table </w:t>
      </w:r>
      <w:r w:rsidR="00DB4BE3">
        <w:rPr>
          <w:noProof/>
          <w:lang w:val="en-US"/>
        </w:rPr>
        <w:t>1</w:t>
      </w:r>
      <w:r w:rsidR="00AB3525" w:rsidRPr="00CF0DF4">
        <w:rPr>
          <w:lang w:val="en-US"/>
        </w:rPr>
        <w:fldChar w:fldCharType="end"/>
      </w:r>
      <w:r w:rsidR="00AB3525" w:rsidRPr="00CF0DF4">
        <w:rPr>
          <w:lang w:val="en-US"/>
        </w:rPr>
        <w:t>) are similarly scrutinized to identify potential melting layers.</w:t>
      </w:r>
    </w:p>
    <w:p w14:paraId="6CEBBCE8" w14:textId="1C165907" w:rsidR="00945591" w:rsidRPr="00CF0DF4" w:rsidRDefault="00945591" w:rsidP="00945591">
      <w:pPr>
        <w:pStyle w:val="Body"/>
        <w:rPr>
          <w:lang w:val="en-US"/>
        </w:rPr>
      </w:pPr>
    </w:p>
    <w:p w14:paraId="2ABB022D" w14:textId="77777777" w:rsidR="00945591" w:rsidRPr="00CF0DF4" w:rsidRDefault="00945591" w:rsidP="00945591">
      <w:pPr>
        <w:pStyle w:val="Figure"/>
        <w:keepNext/>
        <w:rPr>
          <w:lang w:val="en-US"/>
        </w:rPr>
      </w:pPr>
      <w:r w:rsidRPr="00CF0DF4">
        <w:rPr>
          <w:noProof/>
          <w:lang w:val="en-US" w:eastAsia="en-US" w:bidi="ar-SA"/>
        </w:rPr>
        <w:lastRenderedPageBreak/>
        <w:drawing>
          <wp:inline distT="0" distB="0" distL="0" distR="0" wp14:anchorId="4FB370BE" wp14:editId="31F9178B">
            <wp:extent cx="5943600" cy="5394960"/>
            <wp:effectExtent l="0" t="0" r="0" b="0"/>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6" t="2113" r="2357" b="3162"/>
                    <a:stretch/>
                  </pic:blipFill>
                  <pic:spPr bwMode="auto">
                    <a:xfrm>
                      <a:off x="0" y="0"/>
                      <a:ext cx="594360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634F2F6B" w14:textId="450EC447" w:rsidR="00945591" w:rsidRPr="00CF0DF4" w:rsidRDefault="00945591" w:rsidP="00945591">
      <w:pPr>
        <w:pStyle w:val="Caption-Figure"/>
      </w:pPr>
      <w:bookmarkStart w:id="52" w:name="_Ref102216178"/>
      <w:bookmarkStart w:id="53" w:name="_Toc106436292"/>
      <w:bookmarkStart w:id="54" w:name="_Toc109123118"/>
      <w:r w:rsidRPr="00CF0DF4">
        <w:t xml:space="preserve">Figure </w:t>
      </w:r>
      <w:r w:rsidRPr="00CF0DF4">
        <w:fldChar w:fldCharType="begin"/>
      </w:r>
      <w:r w:rsidRPr="00CF0DF4">
        <w:instrText>SEQ Figure \* ARABIC</w:instrText>
      </w:r>
      <w:r w:rsidRPr="00CF0DF4">
        <w:fldChar w:fldCharType="separate"/>
      </w:r>
      <w:r w:rsidR="00DB4BE3">
        <w:rPr>
          <w:noProof/>
        </w:rPr>
        <w:t>5</w:t>
      </w:r>
      <w:r w:rsidRPr="00CF0DF4">
        <w:fldChar w:fldCharType="end"/>
      </w:r>
      <w:bookmarkEnd w:id="52"/>
      <w:r w:rsidRPr="00CF0DF4">
        <w:t>: Plot detailing a melting layer profile from 12 NOV 15 during the OLYMPEX field campaign. The total concentration (bottom x-axis) is summed for all channels of the HVPS3 probe, shown in the filled contour. Time is shown in seconds from midnight (sfm). Data are averaged every five seconds to smooth out spikes.</w:t>
      </w:r>
      <w:bookmarkEnd w:id="53"/>
      <w:bookmarkEnd w:id="54"/>
    </w:p>
    <w:p w14:paraId="6FDB091D" w14:textId="0CEF49F8" w:rsidR="00945591" w:rsidRPr="00CF0DF4" w:rsidRDefault="00945591" w:rsidP="00945591">
      <w:pPr>
        <w:pStyle w:val="Body"/>
        <w:rPr>
          <w:lang w:val="en-US"/>
        </w:rPr>
      </w:pPr>
      <w:r w:rsidRPr="00CF0DF4">
        <w:rPr>
          <w:lang w:val="en-US"/>
        </w:rPr>
        <w:t xml:space="preserve">Using the potential melting layer profiles, optical array probe images are analyzed to confirm that </w:t>
      </w:r>
      <w:r w:rsidR="00781424">
        <w:rPr>
          <w:lang w:val="en-US"/>
        </w:rPr>
        <w:t>hydrometeors</w:t>
      </w:r>
      <w:r w:rsidRPr="00CF0DF4">
        <w:rPr>
          <w:lang w:val="en-US"/>
        </w:rPr>
        <w:t xml:space="preserve"> undergo melting. </w:t>
      </w:r>
      <w:r w:rsidR="00781424">
        <w:rPr>
          <w:lang w:val="en-US"/>
        </w:rPr>
        <w:t>Hydrometeor</w:t>
      </w:r>
      <w:r w:rsidRPr="00CF0DF4">
        <w:rPr>
          <w:lang w:val="en-US"/>
        </w:rPr>
        <w:t xml:space="preserve"> images are inspected for a transition from frozen to liquid hydrometeors. The larger sampling volume of the HVPS3 provides more </w:t>
      </w:r>
      <w:r w:rsidR="00781424">
        <w:rPr>
          <w:lang w:val="en-US"/>
        </w:rPr>
        <w:t>hydrometeor</w:t>
      </w:r>
      <w:r w:rsidRPr="00CF0DF4">
        <w:rPr>
          <w:lang w:val="en-US"/>
        </w:rPr>
        <w:t xml:space="preserve"> images; however, the higher resolution of the 2D-S (or 2D-C for earlier field campaigns when the 2D-S is unavailable) provides more detailed images, which increases the accuracy of qualitatively determining when all </w:t>
      </w:r>
      <w:r w:rsidR="00781424">
        <w:rPr>
          <w:lang w:val="en-US"/>
        </w:rPr>
        <w:t>hydrometeors</w:t>
      </w:r>
      <w:r w:rsidRPr="00CF0DF4">
        <w:rPr>
          <w:lang w:val="en-US"/>
        </w:rPr>
        <w:t xml:space="preserve"> are melted.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 shows example HVPS3 and 2DS probe </w:t>
      </w:r>
      <w:r w:rsidRPr="00CF0DF4">
        <w:rPr>
          <w:lang w:val="en-US"/>
        </w:rPr>
        <w:lastRenderedPageBreak/>
        <w:t xml:space="preserve">images within the melting layer where there is a clear transition from frozen to liquid hydrometeors with mixed </w:t>
      </w:r>
      <w:r w:rsidR="00781424">
        <w:rPr>
          <w:lang w:val="en-US"/>
        </w:rPr>
        <w:t>hydrometeors</w:t>
      </w:r>
      <w:r w:rsidRPr="00CF0DF4">
        <w:rPr>
          <w:lang w:val="en-US"/>
        </w:rPr>
        <w:t xml:space="preserve"> in between. With its larger sample volume, the HVPS3 provides more images of larger diameter </w:t>
      </w:r>
      <w:r w:rsidR="00781424">
        <w:rPr>
          <w:lang w:val="en-US"/>
        </w:rPr>
        <w:t>hydrometeors</w:t>
      </w:r>
      <w:r w:rsidRPr="00CF0DF4">
        <w:rPr>
          <w:lang w:val="en-US"/>
        </w:rPr>
        <w:t xml:space="preserve"> above, </w:t>
      </w:r>
      <w:r w:rsidR="00694652">
        <w:rPr>
          <w:lang w:val="en-US"/>
        </w:rPr>
        <w:t>within</w:t>
      </w:r>
      <w:r w:rsidRPr="00CF0DF4">
        <w:rPr>
          <w:lang w:val="en-US"/>
        </w:rPr>
        <w:t>, and below the melting layer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a). However, detailed characteristics of the </w:t>
      </w:r>
      <w:r w:rsidR="00781424">
        <w:rPr>
          <w:lang w:val="en-US"/>
        </w:rPr>
        <w:t>hydrometeors</w:t>
      </w:r>
      <w:r w:rsidRPr="00CF0DF4">
        <w:rPr>
          <w:lang w:val="en-US"/>
        </w:rPr>
        <w:t xml:space="preserve"> can be hard to depict due to the low resolution of the HVPS3, which uses 150 µm diodes. The low resolution becomes especially important as </w:t>
      </w:r>
      <w:r w:rsidR="00781424">
        <w:rPr>
          <w:lang w:val="en-US"/>
        </w:rPr>
        <w:t>hydrometeors</w:t>
      </w:r>
      <w:r w:rsidRPr="00CF0DF4">
        <w:rPr>
          <w:lang w:val="en-US"/>
        </w:rPr>
        <w:t xml:space="preserve"> become round and more difficult to identify features differentiating between partially or fully melted </w:t>
      </w:r>
      <w:r w:rsidR="00781424">
        <w:rPr>
          <w:lang w:val="en-US"/>
        </w:rPr>
        <w:t>hydrometeors</w:t>
      </w:r>
      <w:r w:rsidRPr="00CF0DF4">
        <w:rPr>
          <w:lang w:val="en-US"/>
        </w:rPr>
        <w:t xml:space="preserve">. The 2D-S provides a higher resolution look at hydrometeors and their habits at the cost of a lower sample volume and fewer </w:t>
      </w:r>
      <w:r w:rsidR="00781424">
        <w:rPr>
          <w:lang w:val="en-US"/>
        </w:rPr>
        <w:t>hydrometeors</w:t>
      </w:r>
      <w:r w:rsidRPr="00CF0DF4">
        <w:rPr>
          <w:lang w:val="en-US"/>
        </w:rPr>
        <w:t xml:space="preserve"> sampled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b). In mixed-phased clouds, the HVPS3 images appear </w:t>
      </w:r>
      <w:proofErr w:type="gramStart"/>
      <w:r w:rsidRPr="00CF0DF4">
        <w:rPr>
          <w:lang w:val="en-US"/>
        </w:rPr>
        <w:t>more round</w:t>
      </w:r>
      <w:proofErr w:type="gramEnd"/>
      <w:r w:rsidRPr="00CF0DF4">
        <w:rPr>
          <w:lang w:val="en-US"/>
        </w:rPr>
        <w:t xml:space="preserve">, but lack the detail given by the 2D-S images. </w:t>
      </w:r>
      <w:r w:rsidR="00B8728F" w:rsidRPr="00CF0DF4">
        <w:rPr>
          <w:lang w:val="en-US"/>
        </w:rPr>
        <w:t xml:space="preserve">The 2D-S </w:t>
      </w:r>
      <w:r w:rsidR="00B8728F">
        <w:rPr>
          <w:lang w:val="en-US"/>
        </w:rPr>
        <w:t>shows only</w:t>
      </w:r>
      <w:r w:rsidR="00B8728F" w:rsidRPr="00CF0DF4">
        <w:rPr>
          <w:lang w:val="en-US"/>
        </w:rPr>
        <w:t xml:space="preserve"> a single melting aggregate in the image </w:t>
      </w:r>
      <w:proofErr w:type="gramStart"/>
      <w:r w:rsidR="00B8728F" w:rsidRPr="00CF0DF4">
        <w:rPr>
          <w:lang w:val="en-US"/>
        </w:rPr>
        <w:t>array, but</w:t>
      </w:r>
      <w:proofErr w:type="gramEnd"/>
      <w:r w:rsidR="00B8728F" w:rsidRPr="00CF0DF4">
        <w:rPr>
          <w:lang w:val="en-US"/>
        </w:rPr>
        <w:t xml:space="preserve"> capture</w:t>
      </w:r>
      <w:r w:rsidR="00B8728F">
        <w:rPr>
          <w:lang w:val="en-US"/>
        </w:rPr>
        <w:t>s</w:t>
      </w:r>
      <w:r w:rsidR="00B8728F" w:rsidRPr="00CF0DF4">
        <w:rPr>
          <w:lang w:val="en-US"/>
        </w:rPr>
        <w:t xml:space="preserve"> features necessary to identify it as a mixed </w:t>
      </w:r>
      <w:r w:rsidR="00B8728F">
        <w:rPr>
          <w:lang w:val="en-US"/>
        </w:rPr>
        <w:t>hydrometeor</w:t>
      </w:r>
      <w:r w:rsidR="00B8728F" w:rsidRPr="00CF0DF4">
        <w:rPr>
          <w:lang w:val="en-US"/>
        </w:rPr>
        <w:t xml:space="preserve">. For fully melted </w:t>
      </w:r>
      <w:r w:rsidR="00B8728F">
        <w:rPr>
          <w:lang w:val="en-US"/>
        </w:rPr>
        <w:t>hydrometeors</w:t>
      </w:r>
      <w:r w:rsidRPr="00CF0DF4">
        <w:rPr>
          <w:lang w:val="en-US"/>
        </w:rPr>
        <w:t>, the raindrops only encompass a few pixels in the HVPS3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a), while the 2D-S gives a clear visual of </w:t>
      </w:r>
      <w:r w:rsidR="00781424">
        <w:rPr>
          <w:lang w:val="en-US"/>
        </w:rPr>
        <w:t>hydrometeor</w:t>
      </w:r>
      <w:r w:rsidRPr="00CF0DF4">
        <w:rPr>
          <w:lang w:val="en-US"/>
        </w:rPr>
        <w:t xml:space="preserve"> roundness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b). When used in conjunction, the HVPS3 and 2D-S give a complete picture for identifying the melting layer bottom.</w:t>
      </w:r>
    </w:p>
    <w:p w14:paraId="40F9974B" w14:textId="77777777" w:rsidR="00945591" w:rsidRPr="00CF0DF4" w:rsidRDefault="00945591" w:rsidP="00945591">
      <w:pPr>
        <w:pStyle w:val="Figure"/>
        <w:keepNext/>
        <w:rPr>
          <w:lang w:val="en-US"/>
        </w:rPr>
      </w:pPr>
      <w:r w:rsidRPr="00CF0DF4">
        <w:rPr>
          <w:noProof/>
          <w:lang w:val="en-US" w:eastAsia="en-US" w:bidi="ar-SA"/>
        </w:rPr>
        <w:drawing>
          <wp:inline distT="0" distB="0" distL="0" distR="0" wp14:anchorId="3C090643" wp14:editId="7BF0AA2A">
            <wp:extent cx="5943600" cy="1609344"/>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6" r="1719" b="3665"/>
                    <a:stretch/>
                  </pic:blipFill>
                  <pic:spPr bwMode="auto">
                    <a:xfrm>
                      <a:off x="0" y="0"/>
                      <a:ext cx="5943600" cy="1609344"/>
                    </a:xfrm>
                    <a:prstGeom prst="rect">
                      <a:avLst/>
                    </a:prstGeom>
                    <a:noFill/>
                    <a:ln>
                      <a:noFill/>
                    </a:ln>
                    <a:extLst>
                      <a:ext uri="{53640926-AAD7-44D8-BBD7-CCE9431645EC}">
                        <a14:shadowObscured xmlns:a14="http://schemas.microsoft.com/office/drawing/2010/main"/>
                      </a:ext>
                    </a:extLst>
                  </pic:spPr>
                </pic:pic>
              </a:graphicData>
            </a:graphic>
          </wp:inline>
        </w:drawing>
      </w:r>
    </w:p>
    <w:p w14:paraId="422DF887" w14:textId="6B8D0082" w:rsidR="00945591" w:rsidRPr="00CF0DF4" w:rsidRDefault="00945591" w:rsidP="00945591">
      <w:pPr>
        <w:pStyle w:val="Caption-Figure"/>
      </w:pPr>
      <w:bookmarkStart w:id="55" w:name="_Ref102230321"/>
      <w:bookmarkStart w:id="56" w:name="_Toc106436293"/>
      <w:bookmarkStart w:id="57" w:name="_Toc109123119"/>
      <w:r w:rsidRPr="00CF0DF4">
        <w:t xml:space="preserve">Figure </w:t>
      </w:r>
      <w:r w:rsidRPr="00CF0DF4">
        <w:fldChar w:fldCharType="begin"/>
      </w:r>
      <w:r w:rsidRPr="00CF0DF4">
        <w:instrText>SEQ Figure \* ARABIC</w:instrText>
      </w:r>
      <w:r w:rsidRPr="00CF0DF4">
        <w:fldChar w:fldCharType="separate"/>
      </w:r>
      <w:r w:rsidR="00DB4BE3">
        <w:rPr>
          <w:noProof/>
        </w:rPr>
        <w:t>6</w:t>
      </w:r>
      <w:r w:rsidRPr="00CF0DF4">
        <w:fldChar w:fldCharType="end"/>
      </w:r>
      <w:bookmarkEnd w:id="55"/>
      <w:r w:rsidRPr="00CF0DF4">
        <w:t xml:space="preserve">: Images from the (a) High Volume Precipitation Spectrometer Version 3 (HVPS3) probe and (b) </w:t>
      </w:r>
      <w:proofErr w:type="gramStart"/>
      <w:r w:rsidRPr="00CF0DF4">
        <w:t>Two Dimensional</w:t>
      </w:r>
      <w:proofErr w:type="gramEnd"/>
      <w:r w:rsidRPr="00CF0DF4">
        <w:t xml:space="preserve"> Stereo (2D-S) probe depicting the transition from frozen to liquid hydrometeors during a melting layer penetration on 12 NOV 15 during OLYMPEX. The images from the two probes are taken at the same time in seconds from midnight (sfm), showing three stages of hydrometeors: 1) frozen </w:t>
      </w:r>
      <w:r w:rsidR="00781424">
        <w:t>hydrometeors</w:t>
      </w:r>
      <w:r w:rsidRPr="00CF0DF4">
        <w:t xml:space="preserve"> (top; 75571 sfm); 2) mixed </w:t>
      </w:r>
      <w:r w:rsidR="00781424">
        <w:t>hydrometeors</w:t>
      </w:r>
      <w:r w:rsidRPr="00CF0DF4">
        <w:t xml:space="preserve"> (middle; 75586 sfm); 3) liquid </w:t>
      </w:r>
      <w:r w:rsidR="00781424">
        <w:t>hydrometeors</w:t>
      </w:r>
      <w:r w:rsidRPr="00CF0DF4">
        <w:t xml:space="preserve"> (bottom; 75628 sfm). Each image is 128 pixels tall with a pixel resolution of 150 µm for the HVPS3 and 10 µm for the 2D-S.</w:t>
      </w:r>
      <w:bookmarkEnd w:id="56"/>
      <w:bookmarkEnd w:id="57"/>
    </w:p>
    <w:p w14:paraId="24D9D5ED" w14:textId="6B957409" w:rsidR="00006FC8" w:rsidRPr="00CF0DF4" w:rsidRDefault="00006FC8" w:rsidP="00006FC8">
      <w:pPr>
        <w:pStyle w:val="Body"/>
        <w:rPr>
          <w:lang w:val="en-US"/>
        </w:rPr>
      </w:pPr>
      <w:r w:rsidRPr="00CF0DF4">
        <w:rPr>
          <w:lang w:val="en-US"/>
        </w:rPr>
        <w:lastRenderedPageBreak/>
        <w:t xml:space="preserve">Three-dimensional visualization of the aircraft </w:t>
      </w:r>
      <w:r>
        <w:rPr>
          <w:lang w:val="en-US"/>
        </w:rPr>
        <w:t>flight path through</w:t>
      </w:r>
      <w:r w:rsidRPr="00CF0DF4">
        <w:rPr>
          <w:lang w:val="en-US"/>
        </w:rPr>
        <w:t xml:space="preserve"> the melting layer (</w:t>
      </w:r>
      <w:r w:rsidRPr="00CF0DF4">
        <w:rPr>
          <w:lang w:val="en-US"/>
        </w:rPr>
        <w:fldChar w:fldCharType="begin"/>
      </w:r>
      <w:r w:rsidRPr="00CF0DF4">
        <w:rPr>
          <w:lang w:val="en-US"/>
        </w:rPr>
        <w:instrText xml:space="preserve"> REF _Ref103933368 \h </w:instrText>
      </w:r>
      <w:r w:rsidRPr="00CF0DF4">
        <w:rPr>
          <w:lang w:val="en-US"/>
        </w:rPr>
      </w:r>
      <w:r w:rsidRPr="00CF0DF4">
        <w:rPr>
          <w:lang w:val="en-US"/>
        </w:rPr>
        <w:fldChar w:fldCharType="separate"/>
      </w:r>
      <w:r w:rsidR="00DB4BE3" w:rsidRPr="00CF0DF4">
        <w:t xml:space="preserve">Figure </w:t>
      </w:r>
      <w:r w:rsidR="00DB4BE3">
        <w:rPr>
          <w:noProof/>
        </w:rPr>
        <w:t>7</w:t>
      </w:r>
      <w:r w:rsidRPr="00CF0DF4">
        <w:rPr>
          <w:lang w:val="en-US"/>
        </w:rPr>
        <w:fldChar w:fldCharType="end"/>
      </w:r>
      <w:r w:rsidRPr="00CF0DF4">
        <w:rPr>
          <w:lang w:val="en-US"/>
        </w:rPr>
        <w:t xml:space="preserve">) </w:t>
      </w:r>
      <w:r>
        <w:rPr>
          <w:lang w:val="en-US"/>
        </w:rPr>
        <w:t>is</w:t>
      </w:r>
      <w:r w:rsidRPr="00CF0DF4">
        <w:rPr>
          <w:lang w:val="en-US"/>
        </w:rPr>
        <w:t xml:space="preserve"> used to determine penetration type. While spiral ascents and descents </w:t>
      </w:r>
      <w:r>
        <w:rPr>
          <w:lang w:val="en-US"/>
        </w:rPr>
        <w:t xml:space="preserve">included both </w:t>
      </w:r>
      <w:r w:rsidRPr="00CF0DF4">
        <w:rPr>
          <w:lang w:val="en-US"/>
        </w:rPr>
        <w:t>Lagrangian and Eulerian spirals (</w:t>
      </w:r>
      <w:proofErr w:type="spellStart"/>
      <w:r w:rsidRPr="00CF0DF4">
        <w:rPr>
          <w:lang w:val="en-US"/>
        </w:rPr>
        <w:t>eg.</w:t>
      </w:r>
      <w:proofErr w:type="spellEnd"/>
      <w:r w:rsidRPr="00CF0DF4">
        <w:rPr>
          <w:lang w:val="en-US"/>
        </w:rPr>
        <w:t xml:space="preserve">, </w:t>
      </w:r>
      <w:r w:rsidRPr="00CF0DF4">
        <w:rPr>
          <w:lang w:val="en-US"/>
        </w:rPr>
        <w:fldChar w:fldCharType="begin"/>
      </w:r>
      <w:r>
        <w:rPr>
          <w:lang w:val="en-US"/>
        </w:rPr>
        <w:instrText xml:space="preserve"> ADDIN ZOTERO_ITEM CSL_CITATION {"citationID":"LYvnvQsT","properties":{"formattedCitation":"(Heymsfield et al. 2015, 2021)","plainCitation":"(Heymsfield et al. 2015, 2021)","dontUpdate":true,"noteIndex":0},"citationItems":[{"id":28,"uris":["http://zotero.org/users/8639581/items/UCZRTHEJ"],"itemData":{"id":28,"type":"article-journal","abstract":"Abstract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lang w:val="en-US"/>
        </w:rPr>
        <w:fldChar w:fldCharType="separate"/>
      </w:r>
      <w:r w:rsidRPr="00CF0DF4">
        <w:rPr>
          <w:rFonts w:cs="Times New Roman"/>
          <w:lang w:val="en-US"/>
        </w:rPr>
        <w:t>Heymsfield et al. 2015, 2021)</w:t>
      </w:r>
      <w:r w:rsidRPr="00CF0DF4">
        <w:rPr>
          <w:lang w:val="en-US"/>
        </w:rPr>
        <w:fldChar w:fldCharType="end"/>
      </w:r>
      <w:r w:rsidRPr="00CF0DF4">
        <w:rPr>
          <w:lang w:val="en-US"/>
        </w:rPr>
        <w:t xml:space="preserve">, it is difficult to distinguish between the two types of spirals. Therefore, the penetration type when the aircraft </w:t>
      </w:r>
      <w:r>
        <w:rPr>
          <w:lang w:val="en-US"/>
        </w:rPr>
        <w:t>turns</w:t>
      </w:r>
      <w:r w:rsidRPr="00CF0DF4">
        <w:rPr>
          <w:lang w:val="en-US"/>
        </w:rPr>
        <w:t xml:space="preserve"> while profiling the melting layer is </w:t>
      </w:r>
      <w:r>
        <w:rPr>
          <w:lang w:val="en-US"/>
        </w:rPr>
        <w:t>considered</w:t>
      </w:r>
      <w:r w:rsidRPr="00CF0DF4">
        <w:rPr>
          <w:lang w:val="en-US"/>
        </w:rPr>
        <w:t xml:space="preserve"> a spiral (</w:t>
      </w:r>
      <w:r w:rsidRPr="00CF0DF4">
        <w:rPr>
          <w:lang w:val="en-US"/>
        </w:rPr>
        <w:fldChar w:fldCharType="begin"/>
      </w:r>
      <w:r w:rsidRPr="00CF0DF4">
        <w:rPr>
          <w:lang w:val="en-US"/>
        </w:rPr>
        <w:instrText xml:space="preserve"> REF _Ref103933368 \h </w:instrText>
      </w:r>
      <w:r w:rsidRPr="00CF0DF4">
        <w:rPr>
          <w:lang w:val="en-US"/>
        </w:rPr>
      </w:r>
      <w:r w:rsidRPr="00CF0DF4">
        <w:rPr>
          <w:lang w:val="en-US"/>
        </w:rPr>
        <w:fldChar w:fldCharType="separate"/>
      </w:r>
      <w:r w:rsidR="00DB4BE3" w:rsidRPr="00CF0DF4">
        <w:t xml:space="preserve">Figure </w:t>
      </w:r>
      <w:r w:rsidR="00DB4BE3">
        <w:rPr>
          <w:noProof/>
        </w:rPr>
        <w:t>7</w:t>
      </w:r>
      <w:r w:rsidRPr="00CF0DF4">
        <w:rPr>
          <w:lang w:val="en-US"/>
        </w:rPr>
        <w:fldChar w:fldCharType="end"/>
      </w:r>
      <w:r w:rsidRPr="00CF0DF4">
        <w:rPr>
          <w:lang w:val="en-US"/>
        </w:rPr>
        <w:t>a). Ramps are flight paths that do not spiral as the aircraft ascends or descends while moving horizontally (</w:t>
      </w:r>
      <w:r w:rsidRPr="00CF0DF4">
        <w:rPr>
          <w:lang w:val="en-US"/>
        </w:rPr>
        <w:fldChar w:fldCharType="begin"/>
      </w:r>
      <w:r w:rsidRPr="00CF0DF4">
        <w:rPr>
          <w:lang w:val="en-US"/>
        </w:rPr>
        <w:instrText xml:space="preserve"> REF _Ref103933368 \h </w:instrText>
      </w:r>
      <w:r w:rsidRPr="00CF0DF4">
        <w:rPr>
          <w:lang w:val="en-US"/>
        </w:rPr>
      </w:r>
      <w:r w:rsidRPr="00CF0DF4">
        <w:rPr>
          <w:lang w:val="en-US"/>
        </w:rPr>
        <w:fldChar w:fldCharType="separate"/>
      </w:r>
      <w:r w:rsidR="00DB4BE3" w:rsidRPr="00CF0DF4">
        <w:t xml:space="preserve">Figure </w:t>
      </w:r>
      <w:r w:rsidR="00DB4BE3">
        <w:rPr>
          <w:noProof/>
        </w:rPr>
        <w:t>7</w:t>
      </w:r>
      <w:r w:rsidRPr="00CF0DF4">
        <w:rPr>
          <w:lang w:val="en-US"/>
        </w:rPr>
        <w:fldChar w:fldCharType="end"/>
      </w:r>
      <w:r w:rsidRPr="00CF0DF4">
        <w:rPr>
          <w:lang w:val="en-US"/>
        </w:rPr>
        <w:t>b).</w:t>
      </w:r>
    </w:p>
    <w:p w14:paraId="7536101D" w14:textId="77777777" w:rsidR="009E2EC3" w:rsidRPr="00CF0DF4" w:rsidRDefault="009E2EC3" w:rsidP="009E2EC3">
      <w:pPr>
        <w:pStyle w:val="Figure"/>
        <w:keepNext/>
        <w:rPr>
          <w:lang w:val="en-US"/>
        </w:rPr>
      </w:pPr>
      <w:r w:rsidRPr="00CF0DF4">
        <w:rPr>
          <w:noProof/>
          <w:lang w:val="en-US" w:eastAsia="en-US" w:bidi="ar-SA"/>
        </w:rPr>
        <w:drawing>
          <wp:inline distT="0" distB="0" distL="0" distR="0" wp14:anchorId="43400A57" wp14:editId="3E122CD3">
            <wp:extent cx="5942965" cy="265700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0" t="1045" r="399" b="5211"/>
                    <a:stretch/>
                  </pic:blipFill>
                  <pic:spPr bwMode="auto">
                    <a:xfrm>
                      <a:off x="0" y="0"/>
                      <a:ext cx="5943600" cy="2657293"/>
                    </a:xfrm>
                    <a:prstGeom prst="rect">
                      <a:avLst/>
                    </a:prstGeom>
                    <a:noFill/>
                    <a:ln>
                      <a:noFill/>
                    </a:ln>
                    <a:extLst>
                      <a:ext uri="{53640926-AAD7-44D8-BBD7-CCE9431645EC}">
                        <a14:shadowObscured xmlns:a14="http://schemas.microsoft.com/office/drawing/2010/main"/>
                      </a:ext>
                    </a:extLst>
                  </pic:spPr>
                </pic:pic>
              </a:graphicData>
            </a:graphic>
          </wp:inline>
        </w:drawing>
      </w:r>
    </w:p>
    <w:p w14:paraId="361525BE" w14:textId="5A12822A" w:rsidR="009E2EC3" w:rsidRPr="00CF0DF4" w:rsidRDefault="009E2EC3" w:rsidP="009E2EC3">
      <w:pPr>
        <w:pStyle w:val="Caption-Figure"/>
      </w:pPr>
      <w:bookmarkStart w:id="58" w:name="_Ref103933368"/>
      <w:bookmarkStart w:id="59" w:name="_Toc109123120"/>
      <w:r w:rsidRPr="00CF0DF4">
        <w:t xml:space="preserve">Figure </w:t>
      </w:r>
      <w:r w:rsidRPr="00CF0DF4">
        <w:fldChar w:fldCharType="begin"/>
      </w:r>
      <w:r w:rsidRPr="00CF0DF4">
        <w:instrText>SEQ Figure \* ARABIC</w:instrText>
      </w:r>
      <w:r w:rsidRPr="00CF0DF4">
        <w:fldChar w:fldCharType="separate"/>
      </w:r>
      <w:r w:rsidR="00DB4BE3">
        <w:rPr>
          <w:noProof/>
        </w:rPr>
        <w:t>7</w:t>
      </w:r>
      <w:r w:rsidRPr="00CF0DF4">
        <w:fldChar w:fldCharType="end"/>
      </w:r>
      <w:bookmarkEnd w:id="58"/>
      <w:r w:rsidRPr="00CF0DF4">
        <w:t>: Plots showing</w:t>
      </w:r>
      <w:r w:rsidR="00640A5F" w:rsidRPr="00CF0DF4">
        <w:t xml:space="preserve"> </w:t>
      </w:r>
      <w:r w:rsidR="005A49CC" w:rsidRPr="00CF0DF4">
        <w:t>the melting layer penetration types: (</w:t>
      </w:r>
      <w:r w:rsidRPr="00CF0DF4">
        <w:t xml:space="preserve">a) ramp ascent on 12 NOV </w:t>
      </w:r>
      <w:r w:rsidR="005A49CC" w:rsidRPr="00CF0DF4">
        <w:t>20</w:t>
      </w:r>
      <w:r w:rsidRPr="00CF0DF4">
        <w:t>15 during OLYMPEX</w:t>
      </w:r>
      <w:r w:rsidR="005A49CC" w:rsidRPr="00CF0DF4">
        <w:t xml:space="preserve"> and</w:t>
      </w:r>
      <w:r w:rsidRPr="00CF0DF4">
        <w:t xml:space="preserve"> </w:t>
      </w:r>
      <w:r w:rsidR="005A49CC" w:rsidRPr="00CF0DF4">
        <w:t>(</w:t>
      </w:r>
      <w:r w:rsidRPr="00CF0DF4">
        <w:t xml:space="preserve">b) </w:t>
      </w:r>
      <w:r w:rsidR="00640A5F" w:rsidRPr="00CF0DF4">
        <w:t>spiral</w:t>
      </w:r>
      <w:r w:rsidRPr="00CF0DF4">
        <w:t xml:space="preserve"> descent on 11 MAY 10 during MC3E. The altitude of the flight path (solid blue line) and its surface projection (dashed blue line) is from the 0 °C isotherm to the melting layer bottom.</w:t>
      </w:r>
      <w:r w:rsidR="00AC5F3E" w:rsidRPr="00CF0DF4">
        <w:t xml:space="preserve"> </w:t>
      </w:r>
      <w:r w:rsidRPr="00CF0DF4">
        <w:t>The X Distance shown is latitudinal distance and the Y Distance is longitudinal distance.</w:t>
      </w:r>
      <w:bookmarkEnd w:id="59"/>
    </w:p>
    <w:p w14:paraId="47AD9513" w14:textId="40968D82" w:rsidR="00614F96" w:rsidRPr="00CF0DF4" w:rsidRDefault="00614F96" w:rsidP="00614F96">
      <w:pPr>
        <w:pStyle w:val="Body"/>
        <w:rPr>
          <w:lang w:val="en-US"/>
        </w:rPr>
      </w:pPr>
      <w:r w:rsidRPr="00CF0DF4">
        <w:rPr>
          <w:lang w:val="en-US"/>
        </w:rPr>
        <w:t xml:space="preserve">Optical array probe measurements above, </w:t>
      </w:r>
      <w:r>
        <w:rPr>
          <w:lang w:val="en-US"/>
        </w:rPr>
        <w:t>within</w:t>
      </w:r>
      <w:r w:rsidRPr="00CF0DF4">
        <w:rPr>
          <w:lang w:val="en-US"/>
        </w:rPr>
        <w:t xml:space="preserve">, and below the melting layer are analyzed to determine differences in </w:t>
      </w:r>
      <w:r>
        <w:rPr>
          <w:lang w:val="en-US"/>
        </w:rPr>
        <w:t>hydrometeor</w:t>
      </w:r>
      <w:r w:rsidRPr="00CF0DF4">
        <w:rPr>
          <w:lang w:val="en-US"/>
        </w:rPr>
        <w:t xml:space="preserve"> concentration and area ratio, and how relative humidity affects these parameters. Additionally, the 0 °C ice-bulb and air temperature are compared for defining the melting layer top. Typically</w:t>
      </w:r>
      <w:r w:rsidRPr="00CF0DF4">
        <w:rPr>
          <w:rFonts w:eastAsia="Times New Roman" w:cs="Times New Roman"/>
          <w:lang w:val="en-US"/>
        </w:rPr>
        <w:t xml:space="preserve">, measurements from a small sized </w:t>
      </w:r>
      <w:r>
        <w:rPr>
          <w:rFonts w:eastAsia="Times New Roman" w:cs="Times New Roman"/>
          <w:lang w:val="en-US"/>
        </w:rPr>
        <w:t>hydrometeor</w:t>
      </w:r>
      <w:r w:rsidRPr="00CF0DF4">
        <w:rPr>
          <w:rFonts w:eastAsia="Times New Roman" w:cs="Times New Roman"/>
          <w:lang w:val="en-US"/>
        </w:rPr>
        <w:t xml:space="preserve"> probes, such as the 2D-S, are combined with measurements from a large sized </w:t>
      </w:r>
      <w:r>
        <w:rPr>
          <w:rFonts w:eastAsia="Times New Roman" w:cs="Times New Roman"/>
          <w:lang w:val="en-US"/>
        </w:rPr>
        <w:t>hydrometeor</w:t>
      </w:r>
      <w:r w:rsidRPr="00CF0DF4">
        <w:rPr>
          <w:rFonts w:eastAsia="Times New Roman" w:cs="Times New Roman"/>
          <w:lang w:val="en-US"/>
        </w:rPr>
        <w:t xml:space="preserve"> probes, such as the HVPS3, to create a full </w:t>
      </w:r>
      <w:r>
        <w:rPr>
          <w:rFonts w:eastAsia="Times New Roman" w:cs="Times New Roman"/>
          <w:lang w:val="en-US"/>
        </w:rPr>
        <w:t>hydrometeor</w:t>
      </w:r>
      <w:r w:rsidRPr="00CF0DF4">
        <w:rPr>
          <w:rFonts w:eastAsia="Times New Roman" w:cs="Times New Roman"/>
          <w:lang w:val="en-US"/>
        </w:rPr>
        <w:t xml:space="preserve"> spectrum for analysis (e.g., </w:t>
      </w:r>
      <w:r w:rsidRPr="00CF0DF4">
        <w:rPr>
          <w:lang w:val="en-US"/>
        </w:rPr>
        <w:fldChar w:fldCharType="begin"/>
      </w:r>
      <w:r w:rsidRPr="00CF0DF4">
        <w:rPr>
          <w:lang w:val="en-US"/>
        </w:rPr>
        <w:instrText xml:space="preserve"> ADDIN ZOTERO_ITEM CSL_CITATION {"citationID":"bi0HShtt","properties":{"formattedCitation":"(Heymsfield et al. 2015; Wagner and Delene 2022)","plainCitation":"(Heymsfield et al. 2015; Wagner and Delene 2022)","dontUpdate":true,"noteIndex":0},"citationItems":[{"id":28,"uris":["http://zotero.org/users/8639581/items/UCZRTHEJ"],"itemData":{"id":28,"type":"article-journal","abstract":"Abstract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R."},{"family":"Wood","given":"Norm"}],"issued":{"date-parts":[["2015",8,1]]}}},{"id":308,"uris":["http://zotero.org/groups/4663654/items/U4XYMC9F"],"itemData":{"id":308,"type":"report","abstract":"Jet engine power loss due to ice particle accumulation is a recognized aviation hazard occurring in cloud conditions difficult to forecast or visually recognize. High-altitude cirrus clouds can have ice particle concentrations high enough to be dangerous; therefore, pilots must be informed when aircraft enter such environments. One approach to determining ice 10 particle concentration is an onboard Lidar system. Concurrent Lidar measurements are compared to backscatter coefficients derived from particle size distributions obtained from wing-mounted, in-situ probes during four case studies consisting of sixty-second flight segments at different temperatures; +7 °C and +4 °C for water droplet analysis, -33 °C and -46 °C for ice particle analysis. Backscatter coefficients derived from external cloud probes (ECP) are correlated (0.91) with measurements by an airborne Lidar system known as the Optical Ice Detector (OID). Differences between OID and ECP backscatter 15 coefficients range from less than 1 to over 3 standard deviations uncertainties. The backscatter coefficients are primarily in agreement for liquid clouds and disagreement for the -33 °C and -46 °C cases, with ECP derived backscatter coefficients lower than the OID for three out of the four cases. Measurements over four research flights show that measured total water content is correlated (0.74) with the OID backscatter coefficient, which indicates that the OID is a useful instrument for determining ice particle concentrations over a broad range of environments, including at ice water contents as low as 0.02 g 20 m-3. Additionally, concurrent measurements from cloud imaging probes and an airborne Lidar test system provides improved knowledge of cloud conditions and can help in understanding cloud processes.","genre":"preprint","language":"en","note":"DOI: 10.5194/amt-2022-87","publisher":"Clouds/In Situ Measurement/Validation and Intercomparisons","source":"DOI.org (Crossref)","title":"Technique for comparison of backscatter coefficients derived from in-situ cloud probe measurements with concurrent airborne Lidar","URL":"https://amt.copernicus.org/preprints/amt-2022-87/","author":[{"family":"Wagner","given":"Shawn Wendell"},{"family":"Delene","given":"David James"}],"accessed":{"date-parts":[["2022",5,26]]},"issued":{"date-parts":[["2022",5,19]]}}}],"schema":"https://github.com/citation-style-language/schema/raw/master/csl-citation.json"} </w:instrText>
      </w:r>
      <w:r w:rsidRPr="00CF0DF4">
        <w:rPr>
          <w:lang w:val="en-US"/>
        </w:rPr>
        <w:fldChar w:fldCharType="separate"/>
      </w:r>
      <w:r w:rsidRPr="00CF0DF4">
        <w:rPr>
          <w:rFonts w:cs="Times New Roman"/>
          <w:lang w:val="en-US"/>
        </w:rPr>
        <w:t>Heymsfield et al. 2015; Wagner and Delene 2022)</w:t>
      </w:r>
      <w:r w:rsidRPr="00CF0DF4">
        <w:rPr>
          <w:lang w:val="en-US"/>
        </w:rPr>
        <w:fldChar w:fldCharType="end"/>
      </w:r>
      <w:r w:rsidRPr="00CF0DF4">
        <w:rPr>
          <w:rFonts w:eastAsia="Times New Roman" w:cs="Times New Roman"/>
          <w:lang w:val="en-US"/>
        </w:rPr>
        <w:t xml:space="preserve">. The combined spectrum has some diameter, such as 1,000 µm, that </w:t>
      </w:r>
      <w:r w:rsidRPr="00CF0DF4">
        <w:rPr>
          <w:rFonts w:eastAsia="Times New Roman" w:cs="Times New Roman"/>
          <w:lang w:val="en-US"/>
        </w:rPr>
        <w:lastRenderedPageBreak/>
        <w:t>separates measurements from the two probes (</w:t>
      </w:r>
      <w:r w:rsidRPr="00CF0DF4">
        <w:rPr>
          <w:rFonts w:cs="Times New Roman"/>
          <w:lang w:val="en-US"/>
        </w:rPr>
        <w:fldChar w:fldCharType="begin"/>
      </w:r>
      <w:r w:rsidRPr="00CF0DF4">
        <w:rPr>
          <w:rFonts w:cs="Times New Roman"/>
          <w:lang w:val="en-US"/>
        </w:rPr>
        <w:instrText xml:space="preserve"> REF _Ref103885783 \h  \* MERGEFORMAT </w:instrText>
      </w:r>
      <w:r w:rsidRPr="00CF0DF4">
        <w:rPr>
          <w:rFonts w:cs="Times New Roman"/>
          <w:lang w:val="en-US"/>
        </w:rPr>
      </w:r>
      <w:r w:rsidRPr="00CF0DF4">
        <w:rPr>
          <w:rFonts w:cs="Times New Roman"/>
          <w:lang w:val="en-US"/>
        </w:rPr>
        <w:fldChar w:fldCharType="separate"/>
      </w:r>
      <w:r w:rsidR="00DB4BE3" w:rsidRPr="00DB4BE3">
        <w:rPr>
          <w:rFonts w:cs="Times New Roman"/>
          <w:lang w:val="en-US"/>
        </w:rPr>
        <w:t xml:space="preserve">Table </w:t>
      </w:r>
      <w:r w:rsidR="00DB4BE3" w:rsidRPr="00DB4BE3">
        <w:rPr>
          <w:rFonts w:cs="Times New Roman"/>
          <w:noProof/>
          <w:lang w:val="en-US"/>
        </w:rPr>
        <w:t>2</w:t>
      </w:r>
      <w:r w:rsidRPr="00CF0DF4">
        <w:rPr>
          <w:rFonts w:cs="Times New Roman"/>
          <w:lang w:val="en-US"/>
        </w:rPr>
        <w:fldChar w:fldCharType="end"/>
      </w:r>
      <w:r w:rsidRPr="00CF0DF4">
        <w:rPr>
          <w:rFonts w:eastAsia="Times New Roman" w:cs="Times New Roman"/>
          <w:lang w:val="en-US"/>
        </w:rPr>
        <w:t xml:space="preserve">). Combining the probe measurements provides a continuous size distribution with the high size resolution of the 2D-S and the large sampling volume of the HVPS3. </w:t>
      </w:r>
      <w:r>
        <w:rPr>
          <w:rFonts w:eastAsia="Times New Roman" w:cs="Times New Roman"/>
          <w:lang w:val="en-US"/>
        </w:rPr>
        <w:t>However, w</w:t>
      </w:r>
      <w:r w:rsidRPr="00CF0DF4">
        <w:rPr>
          <w:rFonts w:eastAsia="Times New Roman" w:cs="Times New Roman"/>
          <w:lang w:val="en-US"/>
        </w:rPr>
        <w:t xml:space="preserve">ith the 1 Hz spectrum, the 2D-S probe’s small sample volume results in zero </w:t>
      </w:r>
      <w:r>
        <w:rPr>
          <w:rFonts w:eastAsia="Times New Roman" w:cs="Times New Roman"/>
          <w:lang w:val="en-US"/>
        </w:rPr>
        <w:t>hydrometeor</w:t>
      </w:r>
      <w:r w:rsidRPr="00CF0DF4">
        <w:rPr>
          <w:rFonts w:eastAsia="Times New Roman" w:cs="Times New Roman"/>
          <w:lang w:val="en-US"/>
        </w:rPr>
        <w:t xml:space="preserve"> counts in the 300-2,000 µm size range, using “standard” channel spacing (</w:t>
      </w:r>
      <w:r w:rsidRPr="00CF0DF4">
        <w:rPr>
          <w:rFonts w:cs="Times New Roman"/>
          <w:lang w:val="en-US"/>
        </w:rPr>
        <w:fldChar w:fldCharType="begin"/>
      </w:r>
      <w:r w:rsidRPr="00CF0DF4">
        <w:rPr>
          <w:rFonts w:cs="Times New Roman"/>
          <w:lang w:val="en-US"/>
        </w:rPr>
        <w:instrText xml:space="preserve"> REF _Ref103885783 \h  \* MERGEFORMAT </w:instrText>
      </w:r>
      <w:r w:rsidRPr="00CF0DF4">
        <w:rPr>
          <w:rFonts w:cs="Times New Roman"/>
          <w:lang w:val="en-US"/>
        </w:rPr>
      </w:r>
      <w:r w:rsidRPr="00CF0DF4">
        <w:rPr>
          <w:rFonts w:cs="Times New Roman"/>
          <w:lang w:val="en-US"/>
        </w:rPr>
        <w:fldChar w:fldCharType="separate"/>
      </w:r>
      <w:r w:rsidR="00DB4BE3" w:rsidRPr="00DB4BE3">
        <w:rPr>
          <w:rFonts w:cs="Times New Roman"/>
          <w:lang w:val="en-US"/>
        </w:rPr>
        <w:t xml:space="preserve">Table </w:t>
      </w:r>
      <w:r w:rsidR="00DB4BE3" w:rsidRPr="00DB4BE3">
        <w:rPr>
          <w:rFonts w:cs="Times New Roman"/>
          <w:noProof/>
          <w:lang w:val="en-US"/>
        </w:rPr>
        <w:t>2</w:t>
      </w:r>
      <w:r w:rsidRPr="00CF0DF4">
        <w:rPr>
          <w:rFonts w:cs="Times New Roman"/>
          <w:lang w:val="en-US"/>
        </w:rPr>
        <w:fldChar w:fldCharType="end"/>
      </w:r>
      <w:r w:rsidRPr="00CF0DF4">
        <w:rPr>
          <w:rFonts w:eastAsia="Times New Roman" w:cs="Times New Roman"/>
          <w:lang w:val="en-US"/>
        </w:rPr>
        <w:t xml:space="preserve">), while the </w:t>
      </w:r>
      <w:r w:rsidRPr="00CF0DF4">
        <w:rPr>
          <w:rFonts w:cs="Times New Roman"/>
          <w:lang w:val="en-US"/>
        </w:rPr>
        <w:t xml:space="preserve">HVPS3 </w:t>
      </w:r>
      <w:r>
        <w:rPr>
          <w:rFonts w:cs="Times New Roman"/>
          <w:lang w:val="en-US"/>
        </w:rPr>
        <w:t>captures many particles of that size</w:t>
      </w:r>
      <w:r w:rsidRPr="00CF0DF4">
        <w:rPr>
          <w:rFonts w:cs="Times New Roman"/>
          <w:lang w:val="en-US"/>
        </w:rPr>
        <w:t xml:space="preserve"> (</w:t>
      </w:r>
      <w:r w:rsidRPr="00CF0DF4">
        <w:rPr>
          <w:rFonts w:cs="Times New Roman"/>
          <w:lang w:val="en-US"/>
        </w:rPr>
        <w:fldChar w:fldCharType="begin"/>
      </w:r>
      <w:r w:rsidRPr="00CF0DF4">
        <w:rPr>
          <w:rFonts w:cs="Times New Roman"/>
          <w:lang w:val="en-US"/>
        </w:rPr>
        <w:instrText xml:space="preserve"> REF _Ref105487494 \h  \* MERGEFORMAT </w:instrText>
      </w:r>
      <w:r w:rsidRPr="00CF0DF4">
        <w:rPr>
          <w:rFonts w:cs="Times New Roman"/>
          <w:lang w:val="en-US"/>
        </w:rPr>
      </w:r>
      <w:r w:rsidRPr="00CF0DF4">
        <w:rPr>
          <w:rFonts w:cs="Times New Roman"/>
          <w:lang w:val="en-US"/>
        </w:rPr>
        <w:fldChar w:fldCharType="separate"/>
      </w:r>
      <w:r w:rsidR="00DB4BE3" w:rsidRPr="00DB4BE3">
        <w:rPr>
          <w:rFonts w:cs="Times New Roman"/>
          <w:lang w:val="en-US"/>
        </w:rPr>
        <w:t xml:space="preserve">Figure </w:t>
      </w:r>
      <w:r w:rsidR="00DB4BE3" w:rsidRPr="00DB4BE3">
        <w:rPr>
          <w:rFonts w:cs="Times New Roman"/>
          <w:noProof/>
          <w:lang w:val="en-US"/>
        </w:rPr>
        <w:t>8</w:t>
      </w:r>
      <w:r w:rsidRPr="00CF0DF4">
        <w:rPr>
          <w:rFonts w:cs="Times New Roman"/>
          <w:lang w:val="en-US"/>
        </w:rPr>
        <w:fldChar w:fldCharType="end"/>
      </w:r>
      <w:r w:rsidRPr="00CF0DF4">
        <w:rPr>
          <w:rFonts w:cs="Times New Roman"/>
          <w:lang w:val="en-US"/>
        </w:rPr>
        <w:t xml:space="preserve">). The low </w:t>
      </w:r>
      <w:r>
        <w:rPr>
          <w:rFonts w:cs="Times New Roman"/>
          <w:lang w:val="en-US"/>
        </w:rPr>
        <w:t>hydrometeor</w:t>
      </w:r>
      <w:r w:rsidRPr="00CF0DF4">
        <w:rPr>
          <w:rFonts w:cs="Times New Roman"/>
          <w:lang w:val="en-US"/>
        </w:rPr>
        <w:t xml:space="preserve"> counts impact the uncertainty of the area ratio. </w:t>
      </w:r>
      <w:r>
        <w:rPr>
          <w:rFonts w:cs="Times New Roman"/>
          <w:lang w:val="en-US"/>
        </w:rPr>
        <w:t>Thus, t</w:t>
      </w:r>
      <w:r w:rsidRPr="00CF0DF4">
        <w:rPr>
          <w:rFonts w:cs="Times New Roman"/>
          <w:lang w:val="en-US"/>
        </w:rPr>
        <w:t>o enable use of the 1 Hz spectrum and the standard channel spacing, only</w:t>
      </w:r>
      <w:r w:rsidRPr="00CF0DF4">
        <w:rPr>
          <w:lang w:val="en-US"/>
        </w:rPr>
        <w:t xml:space="preserve"> the HVPS3 probe is used to create the spectrum for the melting layer analysis. Longer time periods can be used to create the </w:t>
      </w:r>
      <w:r>
        <w:rPr>
          <w:lang w:val="en-US"/>
        </w:rPr>
        <w:t>hydrometeor</w:t>
      </w:r>
      <w:r w:rsidRPr="00CF0DF4">
        <w:rPr>
          <w:lang w:val="en-US"/>
        </w:rPr>
        <w:t xml:space="preserve"> spectr</w:t>
      </w:r>
      <w:r>
        <w:rPr>
          <w:lang w:val="en-US"/>
        </w:rPr>
        <w:t>a</w:t>
      </w:r>
      <w:r w:rsidRPr="00CF0DF4">
        <w:rPr>
          <w:lang w:val="en-US"/>
        </w:rPr>
        <w:t>; however,</w:t>
      </w:r>
      <w:r>
        <w:rPr>
          <w:lang w:val="en-US"/>
        </w:rPr>
        <w:t xml:space="preserve"> vertical resolution would be compromised</w:t>
      </w:r>
      <w:r w:rsidR="008B6995">
        <w:rPr>
          <w:lang w:val="en-US"/>
        </w:rPr>
        <w:t>,</w:t>
      </w:r>
      <w:r>
        <w:rPr>
          <w:lang w:val="en-US"/>
        </w:rPr>
        <w:t xml:space="preserve"> </w:t>
      </w:r>
      <w:r w:rsidRPr="00CF0DF4">
        <w:rPr>
          <w:lang w:val="en-US"/>
        </w:rPr>
        <w:t>so the accuracy of determining the melting layer bottom using area ratio would be reduced</w:t>
      </w:r>
      <w:r>
        <w:rPr>
          <w:lang w:val="en-US"/>
        </w:rPr>
        <w:t xml:space="preserve"> (</w:t>
      </w:r>
      <w:r>
        <w:rPr>
          <w:lang w:val="en-US"/>
        </w:rPr>
        <w:fldChar w:fldCharType="begin"/>
      </w:r>
      <w:r>
        <w:rPr>
          <w:lang w:val="en-US"/>
        </w:rPr>
        <w:instrText xml:space="preserve"> REF _Ref107815066 \h </w:instrText>
      </w:r>
      <w:r>
        <w:rPr>
          <w:lang w:val="en-US"/>
        </w:rPr>
      </w:r>
      <w:r>
        <w:rPr>
          <w:lang w:val="en-US"/>
        </w:rPr>
        <w:fldChar w:fldCharType="separate"/>
      </w:r>
      <w:r w:rsidR="00DB4BE3">
        <w:t xml:space="preserve">Figure </w:t>
      </w:r>
      <w:r w:rsidR="00DB4BE3">
        <w:rPr>
          <w:noProof/>
        </w:rPr>
        <w:t>9</w:t>
      </w:r>
      <w:r>
        <w:rPr>
          <w:lang w:val="en-US"/>
        </w:rPr>
        <w:fldChar w:fldCharType="end"/>
      </w:r>
      <w:r>
        <w:rPr>
          <w:lang w:val="en-US"/>
        </w:rPr>
        <w:t>)</w:t>
      </w:r>
      <w:r w:rsidRPr="00CF0DF4">
        <w:rPr>
          <w:lang w:val="en-US"/>
        </w:rPr>
        <w:t xml:space="preserve">. </w:t>
      </w:r>
      <w:r>
        <w:rPr>
          <w:lang w:val="en-US"/>
        </w:rPr>
        <w:t>Additionally, the longer time periods do not improve long periods of zero hydrometeor counts. Hydrometeor melting</w:t>
      </w:r>
      <w:r w:rsidRPr="00CF0DF4">
        <w:rPr>
          <w:lang w:val="en-US"/>
        </w:rPr>
        <w:t xml:space="preserve"> is</w:t>
      </w:r>
      <w:r>
        <w:rPr>
          <w:lang w:val="en-US"/>
        </w:rPr>
        <w:t xml:space="preserve"> also</w:t>
      </w:r>
      <w:r w:rsidRPr="00CF0DF4">
        <w:rPr>
          <w:lang w:val="en-US"/>
        </w:rPr>
        <w:t xml:space="preserve"> expected to have the most significant effect on larger </w:t>
      </w:r>
      <w:r>
        <w:rPr>
          <w:lang w:val="en-US"/>
        </w:rPr>
        <w:t>hydrometeors</w:t>
      </w:r>
      <w:r w:rsidRPr="00CF0DF4">
        <w:rPr>
          <w:lang w:val="en-US"/>
        </w:rPr>
        <w:t xml:space="preserve"> (e.g., </w:t>
      </w:r>
      <w:r w:rsidRPr="00CF0DF4">
        <w:rPr>
          <w:lang w:val="en-US"/>
        </w:rPr>
        <w:fldChar w:fldCharType="begin"/>
      </w:r>
      <w:r w:rsidRPr="00CF0DF4">
        <w:rPr>
          <w:lang w:val="en-US"/>
        </w:rPr>
        <w:instrText xml:space="preserve"> ADDIN ZOTERO_ITEM CSL_CITATION {"citationID":"ozY7AFYD","properties":{"formattedCitation":"(Heymsfield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which the 2D-S does not measure. Therefore, the analysis spectrum only uses HVPS3 measurements. The 2D-S and other small </w:t>
      </w:r>
      <w:r>
        <w:rPr>
          <w:lang w:val="en-US"/>
        </w:rPr>
        <w:t>hydrometeor</w:t>
      </w:r>
      <w:r w:rsidRPr="00CF0DF4">
        <w:rPr>
          <w:lang w:val="en-US"/>
        </w:rPr>
        <w:t xml:space="preserve"> probes are still used to analyze images to determine the extent of melting in identified melting layers.</w:t>
      </w:r>
    </w:p>
    <w:p w14:paraId="468A6683" w14:textId="77777777" w:rsidR="009E2EC3" w:rsidRPr="00CF0DF4" w:rsidRDefault="009E2EC3" w:rsidP="009E2EC3">
      <w:pPr>
        <w:pStyle w:val="Figure"/>
        <w:keepNext/>
        <w:rPr>
          <w:lang w:val="en-US"/>
        </w:rPr>
      </w:pPr>
      <w:r w:rsidRPr="00CF0DF4">
        <w:rPr>
          <w:noProof/>
          <w:lang w:val="en-US" w:eastAsia="en-US" w:bidi="ar-SA"/>
        </w:rPr>
        <w:lastRenderedPageBreak/>
        <w:drawing>
          <wp:inline distT="0" distB="0" distL="0" distR="0" wp14:anchorId="5337F6BC" wp14:editId="2501754C">
            <wp:extent cx="5895975" cy="630555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6305550"/>
                    </a:xfrm>
                    <a:prstGeom prst="rect">
                      <a:avLst/>
                    </a:prstGeom>
                    <a:noFill/>
                    <a:ln>
                      <a:noFill/>
                    </a:ln>
                  </pic:spPr>
                </pic:pic>
              </a:graphicData>
            </a:graphic>
          </wp:inline>
        </w:drawing>
      </w:r>
    </w:p>
    <w:p w14:paraId="468B9112" w14:textId="712A8B07" w:rsidR="009E2EC3" w:rsidRPr="00CF0DF4" w:rsidRDefault="009E2EC3" w:rsidP="00235B72">
      <w:pPr>
        <w:pStyle w:val="Caption-Figure"/>
      </w:pPr>
      <w:bookmarkStart w:id="60" w:name="_Ref105487494"/>
      <w:bookmarkStart w:id="61" w:name="_Toc109123121"/>
      <w:r w:rsidRPr="00CF0DF4">
        <w:t xml:space="preserve">Figure </w:t>
      </w:r>
      <w:r w:rsidRPr="00CF0DF4">
        <w:fldChar w:fldCharType="begin"/>
      </w:r>
      <w:r w:rsidRPr="00CF0DF4">
        <w:instrText>SEQ Figure \* ARABIC</w:instrText>
      </w:r>
      <w:r w:rsidRPr="00CF0DF4">
        <w:fldChar w:fldCharType="separate"/>
      </w:r>
      <w:r w:rsidR="00DB4BE3">
        <w:rPr>
          <w:noProof/>
        </w:rPr>
        <w:t>8</w:t>
      </w:r>
      <w:r w:rsidRPr="00CF0DF4">
        <w:fldChar w:fldCharType="end"/>
      </w:r>
      <w:bookmarkEnd w:id="60"/>
      <w:r w:rsidRPr="00CF0DF4">
        <w:t xml:space="preserve">: Plots showing melting layer changes in the </w:t>
      </w:r>
      <w:r w:rsidR="00781424">
        <w:t>hydrometeor</w:t>
      </w:r>
      <w:r w:rsidRPr="00CF0DF4">
        <w:t xml:space="preserve"> size distribution for the Two-Dimensional Stereo (2D-S) probe (left) and the </w:t>
      </w:r>
      <w:proofErr w:type="gramStart"/>
      <w:r w:rsidRPr="00CF0DF4">
        <w:t>High Volume</w:t>
      </w:r>
      <w:proofErr w:type="gramEnd"/>
      <w:r w:rsidRPr="00CF0DF4">
        <w:t xml:space="preserve"> Precipitation Spectrum Version 3 (HVPS3) probe (right) for two case</w:t>
      </w:r>
      <w:r w:rsidR="001E1C38" w:rsidRPr="00CF0DF4">
        <w:t>s</w:t>
      </w:r>
      <w:r w:rsidR="0009513D" w:rsidRPr="00CF0DF4">
        <w:t xml:space="preserve">: </w:t>
      </w:r>
      <w:r w:rsidR="00235B72" w:rsidRPr="00CF0DF4">
        <w:t>12 NOV 2015</w:t>
      </w:r>
      <w:r w:rsidR="00CA24A9" w:rsidRPr="00CF0DF4">
        <w:t xml:space="preserve"> (top)</w:t>
      </w:r>
      <w:r w:rsidR="00235B72" w:rsidRPr="00CF0DF4">
        <w:t xml:space="preserve"> and 12</w:t>
      </w:r>
      <w:r w:rsidR="00021E90" w:rsidRPr="00CF0DF4">
        <w:t xml:space="preserve"> </w:t>
      </w:r>
      <w:r w:rsidR="00235B72" w:rsidRPr="00CF0DF4">
        <w:t>DEC 2015</w:t>
      </w:r>
      <w:r w:rsidR="00CA24A9" w:rsidRPr="00CF0DF4">
        <w:t xml:space="preserve"> (bottom)</w:t>
      </w:r>
      <w:r w:rsidR="00235B72" w:rsidRPr="00CF0DF4">
        <w:t xml:space="preserve"> during OLYMPEX</w:t>
      </w:r>
      <w:r w:rsidR="00021E90" w:rsidRPr="00CF0DF4">
        <w:t>.</w:t>
      </w:r>
      <w:r w:rsidR="000E09E3" w:rsidRPr="00CF0DF4">
        <w:t xml:space="preserve"> The h</w:t>
      </w:r>
      <w:r w:rsidRPr="00CF0DF4">
        <w:t>orizontal solid black line depict</w:t>
      </w:r>
      <w:r w:rsidR="00C41251" w:rsidRPr="00CF0DF4">
        <w:t>s the melting layer top</w:t>
      </w:r>
      <w:r w:rsidRPr="00CF0DF4">
        <w:t xml:space="preserve"> and dashed black line depicts the melting layer bottom. Relative humidity (purple line) is averaged every 5 s. Channel sizes used in the spectrum are given in </w:t>
      </w:r>
      <w:r w:rsidRPr="00CF0DF4">
        <w:fldChar w:fldCharType="begin"/>
      </w:r>
      <w:r w:rsidRPr="00CF0DF4">
        <w:instrText xml:space="preserve"> REF _Ref103885783 \h </w:instrText>
      </w:r>
      <w:r w:rsidR="00235B72" w:rsidRPr="00CF0DF4">
        <w:instrText xml:space="preserve"> \* MERGEFORMAT </w:instrText>
      </w:r>
      <w:r w:rsidRPr="00CF0DF4">
        <w:fldChar w:fldCharType="separate"/>
      </w:r>
      <w:r w:rsidR="00DB4BE3" w:rsidRPr="00CF0DF4">
        <w:t xml:space="preserve">Table </w:t>
      </w:r>
      <w:r w:rsidR="00DB4BE3">
        <w:rPr>
          <w:noProof/>
        </w:rPr>
        <w:t>2</w:t>
      </w:r>
      <w:r w:rsidRPr="00CF0DF4">
        <w:fldChar w:fldCharType="end"/>
      </w:r>
      <w:r w:rsidRPr="00CF0DF4">
        <w:t>.</w:t>
      </w:r>
      <w:bookmarkEnd w:id="61"/>
    </w:p>
    <w:p w14:paraId="195DCA35" w14:textId="77777777" w:rsidR="00240CD6" w:rsidRDefault="00240CD6" w:rsidP="00240CD6">
      <w:pPr>
        <w:pStyle w:val="Figure"/>
        <w:keepNext/>
      </w:pPr>
      <w:r>
        <w:rPr>
          <w:noProof/>
          <w:lang w:val="en-US" w:eastAsia="en-US" w:bidi="ar-SA"/>
        </w:rPr>
        <w:lastRenderedPageBreak/>
        <w:drawing>
          <wp:inline distT="0" distB="0" distL="0" distR="0" wp14:anchorId="7F5ABD34" wp14:editId="504E949C">
            <wp:extent cx="5943600" cy="3337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61" r="3619" b="4910"/>
                    <a:stretch/>
                  </pic:blipFill>
                  <pic:spPr bwMode="auto">
                    <a:xfrm>
                      <a:off x="0" y="0"/>
                      <a:ext cx="5943600"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C4E193A" w14:textId="6A53F336" w:rsidR="000A1600" w:rsidRDefault="00240CD6" w:rsidP="00240CD6">
      <w:pPr>
        <w:pStyle w:val="Caption-Figure"/>
      </w:pPr>
      <w:bookmarkStart w:id="62" w:name="_Ref107815066"/>
      <w:bookmarkStart w:id="63" w:name="_Toc109123122"/>
      <w:r>
        <w:t xml:space="preserve">Figure </w:t>
      </w:r>
      <w:r w:rsidR="00000000">
        <w:fldChar w:fldCharType="begin"/>
      </w:r>
      <w:r w:rsidR="00000000">
        <w:instrText xml:space="preserve"> SEQ Figure \* ARABIC </w:instrText>
      </w:r>
      <w:r w:rsidR="00000000">
        <w:fldChar w:fldCharType="separate"/>
      </w:r>
      <w:r w:rsidR="00DB4BE3">
        <w:rPr>
          <w:noProof/>
        </w:rPr>
        <w:t>9</w:t>
      </w:r>
      <w:r w:rsidR="00000000">
        <w:rPr>
          <w:noProof/>
        </w:rPr>
        <w:fldChar w:fldCharType="end"/>
      </w:r>
      <w:bookmarkEnd w:id="62"/>
      <w:r>
        <w:t>: Plot showing area ratio measurements</w:t>
      </w:r>
      <w:r w:rsidR="00226D22">
        <w:t xml:space="preserve"> from the</w:t>
      </w:r>
      <w:r>
        <w:t xml:space="preserve"> </w:t>
      </w:r>
      <w:r w:rsidR="00226D22">
        <w:t xml:space="preserve">Two-Dimensional Stereo (2D-S) probe </w:t>
      </w:r>
      <w:r>
        <w:t>1 s spectrum (left) and 5 s spectrum (right) for the 12 DEC 2015 case.</w:t>
      </w:r>
      <w:r w:rsidR="00226D22" w:rsidRPr="00226D22">
        <w:t xml:space="preserve"> </w:t>
      </w:r>
      <w:r w:rsidR="00226D22" w:rsidRPr="00CF0DF4">
        <w:t xml:space="preserve">The horizontal solid black line depicts the melting layer top and dashed black line depicts the melting layer bottom. Relative humidity (purple line) is averaged every 5 s. Channel sizes used in the spectrum are given in </w:t>
      </w:r>
      <w:r w:rsidR="00226D22" w:rsidRPr="00CF0DF4">
        <w:fldChar w:fldCharType="begin"/>
      </w:r>
      <w:r w:rsidR="00226D22" w:rsidRPr="00CF0DF4">
        <w:instrText xml:space="preserve"> REF _Ref103885783 \h  \* MERGEFORMAT </w:instrText>
      </w:r>
      <w:r w:rsidR="00226D22" w:rsidRPr="00CF0DF4">
        <w:fldChar w:fldCharType="separate"/>
      </w:r>
      <w:r w:rsidR="00DB4BE3" w:rsidRPr="00CF0DF4">
        <w:t xml:space="preserve">Table </w:t>
      </w:r>
      <w:r w:rsidR="00DB4BE3">
        <w:rPr>
          <w:noProof/>
        </w:rPr>
        <w:t>2</w:t>
      </w:r>
      <w:r w:rsidR="00226D22" w:rsidRPr="00CF0DF4">
        <w:fldChar w:fldCharType="end"/>
      </w:r>
      <w:r w:rsidR="00226D22" w:rsidRPr="00CF0DF4">
        <w:t>.</w:t>
      </w:r>
      <w:bookmarkEnd w:id="63"/>
    </w:p>
    <w:p w14:paraId="73494570" w14:textId="56B59960" w:rsidR="009E2EC3" w:rsidRPr="00CF0DF4" w:rsidRDefault="009E2EC3" w:rsidP="009E2EC3">
      <w:pPr>
        <w:pStyle w:val="Body"/>
        <w:rPr>
          <w:rFonts w:eastAsia="Times New Roman" w:cs="Times New Roman"/>
          <w:lang w:val="en-US"/>
        </w:rPr>
      </w:pPr>
      <w:r w:rsidRPr="00CF0DF4">
        <w:rPr>
          <w:rFonts w:eastAsia="Times New Roman" w:cs="Times New Roman"/>
          <w:lang w:val="en-US"/>
        </w:rPr>
        <w:t xml:space="preserve">For useful area ratio analysis, channels need </w:t>
      </w:r>
      <w:proofErr w:type="gramStart"/>
      <w:r w:rsidRPr="00CF0DF4">
        <w:rPr>
          <w:rFonts w:eastAsia="Times New Roman" w:cs="Times New Roman"/>
          <w:lang w:val="en-US"/>
        </w:rPr>
        <w:t>a sufficient number of</w:t>
      </w:r>
      <w:proofErr w:type="gramEnd"/>
      <w:r w:rsidRPr="00CF0DF4">
        <w:rPr>
          <w:rFonts w:eastAsia="Times New Roman" w:cs="Times New Roman"/>
          <w:lang w:val="en-US"/>
        </w:rPr>
        <w:t xml:space="preserve"> pixels since channels</w:t>
      </w:r>
      <w:r w:rsidR="002A1D8E" w:rsidRPr="00CF0DF4">
        <w:rPr>
          <w:rFonts w:eastAsia="Times New Roman" w:cs="Times New Roman"/>
          <w:lang w:val="en-US"/>
        </w:rPr>
        <w:t xml:space="preserve"> that</w:t>
      </w:r>
      <w:r w:rsidRPr="00CF0DF4">
        <w:rPr>
          <w:rFonts w:eastAsia="Times New Roman" w:cs="Times New Roman"/>
          <w:lang w:val="en-US"/>
        </w:rPr>
        <w:t xml:space="preserve"> encompass only one or two pixels of </w:t>
      </w:r>
      <w:r w:rsidR="00781424">
        <w:rPr>
          <w:rFonts w:eastAsia="Times New Roman" w:cs="Times New Roman"/>
          <w:lang w:val="en-US"/>
        </w:rPr>
        <w:t>hydrometeors</w:t>
      </w:r>
      <w:r w:rsidRPr="00CF0DF4">
        <w:rPr>
          <w:rFonts w:eastAsia="Times New Roman" w:cs="Times New Roman"/>
          <w:lang w:val="en-US"/>
        </w:rPr>
        <w:t xml:space="preserve"> would have erroneously high area ratio values, similar to that of spherical drops, even if the </w:t>
      </w:r>
      <w:r w:rsidR="00781424">
        <w:rPr>
          <w:rFonts w:eastAsia="Times New Roman" w:cs="Times New Roman"/>
          <w:lang w:val="en-US"/>
        </w:rPr>
        <w:t>hydrometeors</w:t>
      </w:r>
      <w:r w:rsidRPr="00CF0DF4">
        <w:rPr>
          <w:rFonts w:eastAsia="Times New Roman" w:cs="Times New Roman"/>
          <w:lang w:val="en-US"/>
        </w:rPr>
        <w:t xml:space="preserve"> are frozen. </w:t>
      </w:r>
      <w:r w:rsidRPr="00CF0DF4">
        <w:rPr>
          <w:rFonts w:eastAsia="Times New Roman" w:cs="Times New Roman"/>
          <w:lang w:val="en-US"/>
        </w:rPr>
        <w:fldChar w:fldCharType="begin"/>
      </w:r>
      <w:r w:rsidRPr="00CF0DF4">
        <w:rPr>
          <w:rFonts w:eastAsia="Times New Roman" w:cs="Times New Roman"/>
          <w:lang w:val="en-US"/>
        </w:rPr>
        <w:instrText xml:space="preserve"> REF _Ref106348569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10</w:t>
      </w:r>
      <w:r w:rsidRPr="00CF0DF4">
        <w:rPr>
          <w:rFonts w:eastAsia="Times New Roman" w:cs="Times New Roman"/>
          <w:lang w:val="en-US"/>
        </w:rPr>
        <w:fldChar w:fldCharType="end"/>
      </w:r>
      <w:r w:rsidRPr="00CF0DF4">
        <w:rPr>
          <w:rFonts w:eastAsia="Times New Roman" w:cs="Times New Roman"/>
          <w:lang w:val="en-US"/>
        </w:rPr>
        <w:t xml:space="preserve"> shows that above the melting layer, the HVPS3 has a larger area ratio at 300 µm than the 2D-S; however, slightly smaller area ratio values at larger diameters. Therefore, HVPS area ratio analysis is conducted starting at </w:t>
      </w:r>
      <w:r w:rsidR="0048684B" w:rsidRPr="00CF0DF4">
        <w:rPr>
          <w:rFonts w:eastAsia="Times New Roman" w:cs="Times New Roman"/>
          <w:lang w:val="en-US"/>
        </w:rPr>
        <w:t>500</w:t>
      </w:r>
      <w:r w:rsidRPr="00CF0DF4">
        <w:rPr>
          <w:rFonts w:eastAsia="Times New Roman" w:cs="Times New Roman"/>
          <w:lang w:val="en-US"/>
        </w:rPr>
        <w:t xml:space="preserve"> µm.</w:t>
      </w:r>
    </w:p>
    <w:p w14:paraId="5CF9DB16" w14:textId="77777777" w:rsidR="009E2EC3" w:rsidRPr="00CF0DF4" w:rsidRDefault="009E2EC3" w:rsidP="009E2EC3">
      <w:pPr>
        <w:pStyle w:val="Figure"/>
        <w:keepNext/>
        <w:rPr>
          <w:lang w:val="en-US"/>
        </w:rPr>
      </w:pPr>
      <w:r w:rsidRPr="00CF0DF4">
        <w:rPr>
          <w:noProof/>
          <w:lang w:val="en-US" w:eastAsia="en-US" w:bidi="ar-SA"/>
        </w:rPr>
        <w:lastRenderedPageBreak/>
        <w:drawing>
          <wp:inline distT="0" distB="0" distL="0" distR="0" wp14:anchorId="43FDA6C5" wp14:editId="74F3BC50">
            <wp:extent cx="5943600" cy="3831336"/>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t="1677" b="1677"/>
                    <a:stretch>
                      <a:fillRect/>
                    </a:stretch>
                  </pic:blipFill>
                  <pic:spPr bwMode="auto">
                    <a:xfrm>
                      <a:off x="0" y="0"/>
                      <a:ext cx="5943600" cy="3831336"/>
                    </a:xfrm>
                    <a:prstGeom prst="rect">
                      <a:avLst/>
                    </a:prstGeom>
                    <a:noFill/>
                    <a:ln>
                      <a:noFill/>
                    </a:ln>
                    <a:extLst>
                      <a:ext uri="{53640926-AAD7-44D8-BBD7-CCE9431645EC}">
                        <a14:shadowObscured xmlns:a14="http://schemas.microsoft.com/office/drawing/2010/main"/>
                      </a:ext>
                    </a:extLst>
                  </pic:spPr>
                </pic:pic>
              </a:graphicData>
            </a:graphic>
          </wp:inline>
        </w:drawing>
      </w:r>
    </w:p>
    <w:p w14:paraId="7856CF81" w14:textId="3E065B96" w:rsidR="009E2EC3" w:rsidRPr="00CF0DF4" w:rsidRDefault="009E2EC3" w:rsidP="009E2EC3">
      <w:pPr>
        <w:pStyle w:val="Caption-Figure"/>
      </w:pPr>
      <w:bookmarkStart w:id="64" w:name="_Ref106348569"/>
      <w:bookmarkStart w:id="65" w:name="_Toc109123123"/>
      <w:r w:rsidRPr="00CF0DF4">
        <w:t xml:space="preserve">Figure </w:t>
      </w:r>
      <w:r w:rsidRPr="00CF0DF4">
        <w:fldChar w:fldCharType="begin"/>
      </w:r>
      <w:r w:rsidRPr="00CF0DF4">
        <w:instrText>SEQ Figure \* ARABIC</w:instrText>
      </w:r>
      <w:r w:rsidRPr="00CF0DF4">
        <w:fldChar w:fldCharType="separate"/>
      </w:r>
      <w:r w:rsidR="00DB4BE3">
        <w:rPr>
          <w:noProof/>
        </w:rPr>
        <w:t>10</w:t>
      </w:r>
      <w:r w:rsidRPr="00CF0DF4">
        <w:fldChar w:fldCharType="end"/>
      </w:r>
      <w:bookmarkEnd w:id="64"/>
      <w:r w:rsidRPr="00CF0DF4">
        <w:t xml:space="preserve">: Plot showing area ratio measurements for the Two-Dimensional Stereo (2D-S) probe (blue) and the </w:t>
      </w:r>
      <w:proofErr w:type="gramStart"/>
      <w:r w:rsidRPr="00CF0DF4">
        <w:t>High Volume</w:t>
      </w:r>
      <w:proofErr w:type="gramEnd"/>
      <w:r w:rsidRPr="00CF0DF4">
        <w:t xml:space="preserve"> Precipitation Spectrum Version 3 (red)</w:t>
      </w:r>
      <w:r w:rsidRPr="00CF0DF4">
        <w:rPr>
          <w:noProof/>
        </w:rPr>
        <w:t xml:space="preserve"> on 12 DEC 15 during OLYMPEX field project. The time period from 64,266 seconds from midnight (sfm) to 69,266 sfm is used to give 83 min and 20 s of measurements above the </w:t>
      </w:r>
      <w:r w:rsidR="005961A3">
        <w:rPr>
          <w:noProof/>
        </w:rPr>
        <w:t>melting</w:t>
      </w:r>
      <w:r w:rsidRPr="00CF0DF4">
        <w:rPr>
          <w:noProof/>
        </w:rPr>
        <w:t xml:space="preserve"> layer</w:t>
      </w:r>
      <w:r w:rsidRPr="00CF0DF4">
        <w:rPr>
          <w:rStyle w:val="CommentReference"/>
          <w:rFonts w:ascii="Liberation Serif" w:eastAsia="NSimSun" w:hAnsi="Liberation Serif" w:cs="Mangal"/>
          <w:i w:val="0"/>
          <w:iCs w:val="0"/>
        </w:rPr>
        <w:t>.</w:t>
      </w:r>
      <w:r w:rsidR="00B33D41" w:rsidRPr="00CF0DF4">
        <w:t xml:space="preserve"> Channel sizes used in the spectrum are given in </w:t>
      </w:r>
      <w:r w:rsidR="00B33D41" w:rsidRPr="00CF0DF4">
        <w:fldChar w:fldCharType="begin"/>
      </w:r>
      <w:r w:rsidR="00B33D41" w:rsidRPr="00CF0DF4">
        <w:instrText xml:space="preserve"> REF _Ref103885783 \h  \* MERGEFORMAT </w:instrText>
      </w:r>
      <w:r w:rsidR="00B33D41" w:rsidRPr="00CF0DF4">
        <w:fldChar w:fldCharType="separate"/>
      </w:r>
      <w:r w:rsidR="00DB4BE3" w:rsidRPr="00CF0DF4">
        <w:t xml:space="preserve">Table </w:t>
      </w:r>
      <w:r w:rsidR="00DB4BE3">
        <w:rPr>
          <w:noProof/>
        </w:rPr>
        <w:t>2</w:t>
      </w:r>
      <w:r w:rsidR="00B33D41" w:rsidRPr="00CF0DF4">
        <w:fldChar w:fldCharType="end"/>
      </w:r>
      <w:r w:rsidR="00B33D41" w:rsidRPr="00CF0DF4">
        <w:t>.</w:t>
      </w:r>
      <w:bookmarkEnd w:id="65"/>
    </w:p>
    <w:p w14:paraId="5150906D" w14:textId="495E6540" w:rsidR="00595E4D" w:rsidRPr="00CF0DF4" w:rsidRDefault="00BB2226" w:rsidP="009E2EC3">
      <w:pPr>
        <w:pStyle w:val="Body"/>
        <w:rPr>
          <w:lang w:val="en-US"/>
        </w:rPr>
      </w:pPr>
      <w:r w:rsidRPr="00CF0DF4">
        <w:rPr>
          <w:rFonts w:eastAsia="Times New Roman" w:cs="Times New Roman"/>
          <w:lang w:val="en-US"/>
        </w:rPr>
        <w:t xml:space="preserve">The HVPS3 </w:t>
      </w:r>
      <w:r>
        <w:rPr>
          <w:rFonts w:eastAsia="Times New Roman" w:cs="Times New Roman"/>
          <w:lang w:val="en-US"/>
        </w:rPr>
        <w:t>hydrometeor</w:t>
      </w:r>
      <w:r w:rsidRPr="00CF0DF4">
        <w:rPr>
          <w:rFonts w:eastAsia="Times New Roman" w:cs="Times New Roman"/>
          <w:lang w:val="en-US"/>
        </w:rPr>
        <w:t xml:space="preserve"> size distribution is fitted to an exponential distribution </w:t>
      </w:r>
      <w:r w:rsidRPr="00CF0DF4">
        <w:rPr>
          <w:lang w:val="en-US"/>
        </w:rPr>
        <w:fldChar w:fldCharType="begin"/>
      </w:r>
      <w:r w:rsidRPr="00CF0DF4">
        <w:rPr>
          <w:lang w:val="en-US"/>
        </w:rPr>
        <w:instrText xml:space="preserve"> REF _Ref104882346 \h </w:instrText>
      </w:r>
      <w:r w:rsidRPr="00CF0DF4">
        <w:rPr>
          <w:lang w:val="en-US"/>
        </w:rPr>
      </w:r>
      <w:r w:rsidRPr="00CF0DF4">
        <w:rPr>
          <w:lang w:val="en-US"/>
        </w:rPr>
        <w:fldChar w:fldCharType="separate"/>
      </w:r>
      <w:r w:rsidR="00DB4BE3" w:rsidRPr="00CF0DF4">
        <w:rPr>
          <w:lang w:val="en-US"/>
        </w:rPr>
        <w:t>(</w:t>
      </w:r>
      <w:r w:rsidR="00DB4BE3">
        <w:rPr>
          <w:noProof/>
          <w:lang w:val="en-US"/>
        </w:rPr>
        <w:t>1</w:t>
      </w:r>
      <w:r w:rsidR="00DB4BE3" w:rsidRPr="00CF0DF4">
        <w:rPr>
          <w:lang w:val="en-US"/>
        </w:rPr>
        <w:t>)</w:t>
      </w:r>
      <w:r w:rsidRPr="00CF0DF4">
        <w:rPr>
          <w:lang w:val="en-US"/>
        </w:rPr>
        <w:fldChar w:fldCharType="end"/>
      </w:r>
      <w:r w:rsidRPr="00CF0DF4">
        <w:rPr>
          <w:lang w:val="en-US"/>
        </w:rPr>
        <w:t xml:space="preserve"> from</w:t>
      </w:r>
      <w:r w:rsidRPr="00CF0DF4">
        <w:rPr>
          <w:rFonts w:eastAsia="Times New Roman" w:cs="Times New Roman"/>
          <w:lang w:val="en-US"/>
        </w:rPr>
        <w:t xml:space="preserve"> 200 µm to 30,000 µm</w:t>
      </w:r>
      <w:r w:rsidRPr="00CF0DF4">
        <w:rPr>
          <w:lang w:val="en-US"/>
        </w:rPr>
        <w:t>. The intercept and slope parameters are calculated using the SciPy module’s</w:t>
      </w:r>
      <w:r w:rsidRPr="00CF0DF4">
        <w:rPr>
          <w:rFonts w:eastAsia="Times New Roman" w:cs="Times New Roman"/>
          <w:lang w:val="en-US"/>
        </w:rPr>
        <w:t xml:space="preserve"> </w:t>
      </w:r>
      <w:proofErr w:type="spellStart"/>
      <w:r w:rsidRPr="00CF0DF4">
        <w:rPr>
          <w:rFonts w:eastAsia="Times New Roman" w:cs="Times New Roman"/>
          <w:lang w:val="en-US"/>
        </w:rPr>
        <w:t>curve_fit</w:t>
      </w:r>
      <w:proofErr w:type="spellEnd"/>
      <w:r w:rsidRPr="00CF0DF4">
        <w:rPr>
          <w:rFonts w:eastAsia="Times New Roman" w:cs="Times New Roman"/>
          <w:lang w:val="en-US"/>
        </w:rPr>
        <w:t xml:space="preserve"> function, which uses the method of least squares to minimize the residuals. To improve computation time and accuracy, an initial guess of N</w:t>
      </w:r>
      <w:r w:rsidRPr="00CF0DF4">
        <w:rPr>
          <w:rFonts w:eastAsia="Times New Roman" w:cs="Times New Roman"/>
          <w:vertAlign w:val="subscript"/>
          <w:lang w:val="en-US"/>
        </w:rPr>
        <w:t>0</w:t>
      </w:r>
      <w:r w:rsidRPr="00CF0DF4">
        <w:rPr>
          <w:rFonts w:eastAsia="Times New Roman" w:cs="Times New Roman"/>
          <w:lang w:val="en-US"/>
        </w:rPr>
        <w:t xml:space="preserve"> = 8 × 10</w:t>
      </w:r>
      <w:r w:rsidRPr="00CF0DF4">
        <w:rPr>
          <w:rFonts w:eastAsia="Times New Roman" w:cs="Times New Roman"/>
          <w:vertAlign w:val="superscript"/>
          <w:lang w:val="en-US"/>
        </w:rPr>
        <w:t>6</w:t>
      </w:r>
      <w:r w:rsidRPr="00CF0DF4">
        <w:rPr>
          <w:rFonts w:eastAsia="Times New Roman" w:cs="Times New Roman"/>
          <w:lang w:val="en-US"/>
        </w:rPr>
        <w:t xml:space="preserve"> m</w:t>
      </w:r>
      <w:r w:rsidRPr="00CF0DF4">
        <w:rPr>
          <w:rFonts w:eastAsia="Times New Roman" w:cs="Times New Roman"/>
          <w:vertAlign w:val="superscript"/>
          <w:lang w:val="en-US"/>
        </w:rPr>
        <w:t xml:space="preserve">-4 </w:t>
      </w:r>
      <w:r w:rsidRPr="00CF0DF4">
        <w:rPr>
          <w:rFonts w:eastAsia="Times New Roman" w:cs="Times New Roman"/>
          <w:lang w:val="en-US"/>
        </w:rPr>
        <w:t>for the intercept parameter and λ = 2 mm</w:t>
      </w:r>
      <w:r w:rsidRPr="00CF0DF4">
        <w:rPr>
          <w:rFonts w:eastAsia="Times New Roman" w:cs="Times New Roman"/>
          <w:vertAlign w:val="superscript"/>
          <w:lang w:val="en-US"/>
        </w:rPr>
        <w:t>-1</w:t>
      </w:r>
      <w:r w:rsidRPr="00CF0DF4">
        <w:rPr>
          <w:rFonts w:eastAsia="Times New Roman" w:cs="Times New Roman"/>
          <w:lang w:val="en-US"/>
        </w:rPr>
        <w:t xml:space="preserve"> for the slope parameter are used. However, tests confirmed that the initial guess does not alter the results</w:t>
      </w:r>
      <w:r w:rsidRPr="00CF0DF4">
        <w:rPr>
          <w:lang w:val="en-US"/>
        </w:rPr>
        <w:t xml:space="preserve">. Spectrum duration and channel sizes change concentration and area ratio values; therefore, the analysis is on trends through the melting layer and how they change rather than the specific magnitude of values. The </w:t>
      </w:r>
      <w:r>
        <w:rPr>
          <w:lang w:val="en-US"/>
        </w:rPr>
        <w:t>hydrometeor</w:t>
      </w:r>
      <w:r w:rsidRPr="00CF0DF4">
        <w:rPr>
          <w:lang w:val="en-US"/>
        </w:rPr>
        <w:t xml:space="preserve"> spectrum is analyzed with the Python programming language (version 3) and the ADPAA module. The ADPAA program </w:t>
      </w:r>
      <w:proofErr w:type="spellStart"/>
      <w:r w:rsidRPr="00CF0DF4">
        <w:rPr>
          <w:lang w:val="en-US"/>
        </w:rPr>
        <w:t>Aplot</w:t>
      </w:r>
      <w:proofErr w:type="spellEnd"/>
      <w:r w:rsidRPr="00CF0DF4">
        <w:rPr>
          <w:lang w:val="en-US"/>
        </w:rPr>
        <w:t xml:space="preserve"> is used </w:t>
      </w:r>
      <w:r w:rsidRPr="00CF0DF4">
        <w:rPr>
          <w:lang w:val="en-US"/>
        </w:rPr>
        <w:lastRenderedPageBreak/>
        <w:t xml:space="preserve">to quickly visualize data and identify potential melting layer profiles. The </w:t>
      </w:r>
      <w:r>
        <w:rPr>
          <w:lang w:val="en-US"/>
        </w:rPr>
        <w:t>ADPAA</w:t>
      </w:r>
      <w:r w:rsidRPr="00CF0DF4">
        <w:rPr>
          <w:lang w:val="en-US"/>
        </w:rPr>
        <w:t xml:space="preserve"> Python object is used to import all data and the Matplotlib Python module is used for visualization.</w:t>
      </w:r>
      <w:r w:rsidR="00595E4D" w:rsidRPr="00CF0DF4">
        <w:rPr>
          <w:lang w:val="en-US"/>
        </w:rPr>
        <w:br w:type="page"/>
      </w:r>
    </w:p>
    <w:p w14:paraId="5A16E19A" w14:textId="610A380B" w:rsidR="00DC03CF" w:rsidRPr="00CF0DF4" w:rsidRDefault="00595E4D" w:rsidP="00592FF5">
      <w:pPr>
        <w:pStyle w:val="Heading1"/>
        <w:rPr>
          <w:lang w:val="en-US"/>
        </w:rPr>
      </w:pPr>
      <w:bookmarkStart w:id="66" w:name="_Toc109123104"/>
      <w:r w:rsidRPr="00CF0DF4">
        <w:rPr>
          <w:lang w:val="en-US"/>
        </w:rPr>
        <w:lastRenderedPageBreak/>
        <w:t>CHAPTER 4</w:t>
      </w:r>
      <w:r w:rsidR="00592FF5" w:rsidRPr="00CF0DF4">
        <w:rPr>
          <w:lang w:val="en-US"/>
        </w:rPr>
        <w:br/>
      </w:r>
      <w:r w:rsidRPr="00CF0DF4">
        <w:rPr>
          <w:lang w:val="en-US"/>
        </w:rPr>
        <w:t>RESULTS</w:t>
      </w:r>
      <w:bookmarkEnd w:id="66"/>
    </w:p>
    <w:p w14:paraId="7D77395D" w14:textId="3ABAF1F2" w:rsidR="00C15A05" w:rsidRPr="00CF0DF4" w:rsidRDefault="00C15A05" w:rsidP="00C15A05">
      <w:pPr>
        <w:pStyle w:val="Heading2"/>
        <w:rPr>
          <w:bCs/>
          <w:color w:val="000000" w:themeColor="text1"/>
          <w:szCs w:val="24"/>
          <w:lang w:val="en-US"/>
        </w:rPr>
      </w:pPr>
      <w:bookmarkStart w:id="67" w:name="__RefHeading___Toc10956_315254120"/>
      <w:bookmarkStart w:id="68" w:name="_Toc109123105"/>
      <w:bookmarkStart w:id="69" w:name="__RefHeading___Toc10986_315254120"/>
      <w:r w:rsidRPr="00CF0DF4">
        <w:rPr>
          <w:lang w:val="en-US"/>
        </w:rPr>
        <w:t xml:space="preserve">4.1 </w:t>
      </w:r>
      <w:bookmarkEnd w:id="67"/>
      <w:r w:rsidR="00A366C8" w:rsidRPr="00CF0DF4">
        <w:rPr>
          <w:lang w:val="en-US"/>
        </w:rPr>
        <w:t>Characteristics</w:t>
      </w:r>
      <w:r w:rsidRPr="00CF0DF4">
        <w:rPr>
          <w:lang w:val="en-US"/>
        </w:rPr>
        <w:t xml:space="preserve"> of Melting Layer Penetrations</w:t>
      </w:r>
      <w:bookmarkEnd w:id="68"/>
    </w:p>
    <w:p w14:paraId="25334ED5" w14:textId="17C1FD68" w:rsidR="006156D1" w:rsidRPr="00CF0DF4" w:rsidRDefault="006156D1" w:rsidP="006156D1">
      <w:pPr>
        <w:pStyle w:val="Body"/>
        <w:rPr>
          <w:lang w:val="en-US"/>
        </w:rPr>
      </w:pPr>
      <w:bookmarkStart w:id="70" w:name="_Ref104379074"/>
      <w:r w:rsidRPr="00CF0DF4">
        <w:rPr>
          <w:lang w:val="en-US"/>
        </w:rPr>
        <w:t xml:space="preserve">From </w:t>
      </w:r>
      <w:r>
        <w:rPr>
          <w:lang w:val="en-US"/>
        </w:rPr>
        <w:t>five</w:t>
      </w:r>
      <w:r w:rsidRPr="00CF0DF4">
        <w:rPr>
          <w:lang w:val="en-US"/>
        </w:rPr>
        <w:t xml:space="preserve"> field campaigns (</w:t>
      </w:r>
      <w:r w:rsidRPr="00CF0DF4">
        <w:rPr>
          <w:lang w:val="en-US"/>
        </w:rPr>
        <w:fldChar w:fldCharType="begin"/>
      </w:r>
      <w:r w:rsidRPr="00CF0DF4">
        <w:rPr>
          <w:lang w:val="en-US"/>
        </w:rPr>
        <w:instrText xml:space="preserve"> REF _Ref106170499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1</w:t>
      </w:r>
      <w:r w:rsidRPr="00CF0DF4">
        <w:rPr>
          <w:lang w:val="en-US"/>
        </w:rPr>
        <w:fldChar w:fldCharType="end"/>
      </w:r>
      <w:r w:rsidRPr="00CF0DF4">
        <w:rPr>
          <w:lang w:val="en-US"/>
        </w:rPr>
        <w:t>), a total of thirty-three melting layer cases are identified with fifteen ramps and eighteen spirals</w:t>
      </w:r>
      <w:r w:rsidR="002D2C0F">
        <w:rPr>
          <w:lang w:val="en-US"/>
        </w:rPr>
        <w:t xml:space="preserve"> (</w:t>
      </w:r>
      <w:r w:rsidR="002D2C0F">
        <w:rPr>
          <w:lang w:val="en-US"/>
        </w:rPr>
        <w:fldChar w:fldCharType="begin"/>
      </w:r>
      <w:r w:rsidR="002D2C0F">
        <w:rPr>
          <w:lang w:val="en-US"/>
        </w:rPr>
        <w:instrText xml:space="preserve"> REF _Ref109123447 \h </w:instrText>
      </w:r>
      <w:r w:rsidR="002D2C0F">
        <w:rPr>
          <w:lang w:val="en-US"/>
        </w:rPr>
      </w:r>
      <w:r w:rsidR="002D2C0F">
        <w:rPr>
          <w:lang w:val="en-US"/>
        </w:rPr>
        <w:fldChar w:fldCharType="separate"/>
      </w:r>
      <w:r w:rsidR="00DB4BE3" w:rsidRPr="00CF0DF4">
        <w:rPr>
          <w:lang w:val="en-US"/>
        </w:rPr>
        <w:t xml:space="preserve">Table </w:t>
      </w:r>
      <w:r w:rsidR="00DB4BE3">
        <w:rPr>
          <w:noProof/>
          <w:lang w:val="en-US"/>
        </w:rPr>
        <w:t>4</w:t>
      </w:r>
      <w:r w:rsidR="002D2C0F">
        <w:rPr>
          <w:lang w:val="en-US"/>
        </w:rPr>
        <w:fldChar w:fldCharType="end"/>
      </w:r>
      <w:r w:rsidR="002D2C0F">
        <w:rPr>
          <w:lang w:val="en-US"/>
        </w:rPr>
        <w:t>)</w:t>
      </w:r>
      <w:r w:rsidRPr="00CF0DF4">
        <w:rPr>
          <w:lang w:val="en-US"/>
        </w:rPr>
        <w:t xml:space="preserve">. Most of the cases </w:t>
      </w:r>
      <w:r>
        <w:rPr>
          <w:lang w:val="en-US"/>
        </w:rPr>
        <w:t>occur</w:t>
      </w:r>
      <w:r w:rsidRPr="00CF0DF4">
        <w:rPr>
          <w:lang w:val="en-US"/>
        </w:rPr>
        <w:t xml:space="preserve"> in high relative humidity conditions with six being saturated throughout the entire melting layer depth</w:t>
      </w:r>
      <w:r>
        <w:rPr>
          <w:lang w:val="en-US"/>
        </w:rPr>
        <w:t xml:space="preserve">, </w:t>
      </w:r>
      <w:r w:rsidR="00055D53">
        <w:rPr>
          <w:lang w:val="en-US"/>
        </w:rPr>
        <w:t>seventeen</w:t>
      </w:r>
      <w:r w:rsidRPr="00CF0DF4">
        <w:rPr>
          <w:lang w:val="en-US"/>
        </w:rPr>
        <w:t xml:space="preserve"> cases having an average relative humidity </w:t>
      </w:r>
      <w:r w:rsidR="00055D53">
        <w:rPr>
          <w:rFonts w:cs="Times New Roman"/>
          <w:lang w:val="en-US"/>
        </w:rPr>
        <w:t>&gt;</w:t>
      </w:r>
      <w:r>
        <w:rPr>
          <w:rFonts w:cs="Times New Roman"/>
          <w:lang w:val="en-US"/>
        </w:rPr>
        <w:t xml:space="preserve"> </w:t>
      </w:r>
      <w:r w:rsidRPr="00CF0DF4">
        <w:rPr>
          <w:lang w:val="en-US"/>
        </w:rPr>
        <w:t>90 percent</w:t>
      </w:r>
      <w:r>
        <w:rPr>
          <w:lang w:val="en-US"/>
        </w:rPr>
        <w:t xml:space="preserve">, and </w:t>
      </w:r>
      <w:r w:rsidR="00ED3D1F">
        <w:rPr>
          <w:lang w:val="en-US"/>
        </w:rPr>
        <w:t>night</w:t>
      </w:r>
      <w:r w:rsidRPr="00CF0DF4">
        <w:rPr>
          <w:lang w:val="en-US"/>
        </w:rPr>
        <w:t xml:space="preserve"> have less than 85 percent. There is no pattern between penetration type and relative humidity.</w:t>
      </w:r>
    </w:p>
    <w:p w14:paraId="60B5B6EE" w14:textId="3EE9CF2A" w:rsidR="00317ACF" w:rsidRPr="00CF0DF4" w:rsidRDefault="00317ACF" w:rsidP="00317ACF">
      <w:pPr>
        <w:pStyle w:val="Caption-Table"/>
        <w:rPr>
          <w:lang w:val="en-US"/>
        </w:rPr>
      </w:pPr>
      <w:bookmarkStart w:id="71" w:name="_Ref109123447"/>
      <w:bookmarkStart w:id="72" w:name="_Toc109123151"/>
      <w:bookmarkStart w:id="73" w:name="_Toc109123158"/>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4</w:t>
      </w:r>
      <w:r w:rsidRPr="00CF0DF4">
        <w:rPr>
          <w:lang w:val="en-US"/>
        </w:rPr>
        <w:fldChar w:fldCharType="end"/>
      </w:r>
      <w:bookmarkEnd w:id="70"/>
      <w:bookmarkEnd w:id="71"/>
      <w:r w:rsidRPr="00CF0DF4">
        <w:rPr>
          <w:lang w:val="en-US"/>
        </w:rPr>
        <w:t>: Matrix showing the number of melting layer profiles by type of aircraft flight provide and average relative humidity (RH) environment throughout the melting layer. Low RH is 90 percent and less, high RH is greater than 90 percent, and saturated is 100 percent throughout the entire melting layer depth.</w:t>
      </w:r>
      <w:bookmarkEnd w:id="72"/>
      <w:bookmarkEnd w:id="73"/>
    </w:p>
    <w:tbl>
      <w:tblPr>
        <w:tblpPr w:leftFromText="187" w:rightFromText="187" w:bottomFromText="346" w:vertAnchor="text" w:tblpXSpec="center" w:tblpY="1"/>
        <w:tblOverlap w:val="never"/>
        <w:tblW w:w="9360" w:type="dxa"/>
        <w:tblLayout w:type="fixed"/>
        <w:tblCellMar>
          <w:left w:w="0" w:type="dxa"/>
          <w:right w:w="0" w:type="dxa"/>
        </w:tblCellMar>
        <w:tblLook w:val="04A0" w:firstRow="1" w:lastRow="0" w:firstColumn="1" w:lastColumn="0" w:noHBand="0" w:noVBand="1"/>
      </w:tblPr>
      <w:tblGrid>
        <w:gridCol w:w="998"/>
        <w:gridCol w:w="2316"/>
        <w:gridCol w:w="2317"/>
        <w:gridCol w:w="2317"/>
        <w:gridCol w:w="1412"/>
      </w:tblGrid>
      <w:tr w:rsidR="00217F8D" w:rsidRPr="00CF0DF4" w14:paraId="35AF076B" w14:textId="77777777" w:rsidTr="00217F8D">
        <w:trPr>
          <w:trHeight w:val="50"/>
        </w:trPr>
        <w:tc>
          <w:tcPr>
            <w:tcW w:w="998" w:type="dxa"/>
            <w:tcBorders>
              <w:top w:val="single" w:sz="12" w:space="0" w:color="auto"/>
              <w:bottom w:val="single" w:sz="4" w:space="0" w:color="auto"/>
              <w:right w:val="single" w:sz="4" w:space="0" w:color="auto"/>
            </w:tcBorders>
            <w:shd w:val="clear" w:color="auto" w:fill="FFFFFF" w:themeFill="background1"/>
            <w:noWrap/>
            <w:vAlign w:val="center"/>
            <w:hideMark/>
          </w:tcPr>
          <w:p w14:paraId="3637B0FD" w14:textId="77777777" w:rsidR="00217F8D" w:rsidRPr="00CF0DF4" w:rsidRDefault="00217F8D" w:rsidP="00217F8D">
            <w:pPr>
              <w:suppressAutoHyphens w:val="0"/>
              <w:autoSpaceDN/>
              <w:jc w:val="center"/>
              <w:textAlignment w:val="auto"/>
              <w:rPr>
                <w:rFonts w:ascii="Times New Roman" w:eastAsia="Times New Roman" w:hAnsi="Times New Roman" w:cs="Times New Roman"/>
                <w:color w:val="000000"/>
                <w:kern w:val="0"/>
                <w:lang w:eastAsia="en-US" w:bidi="ar-SA"/>
              </w:rPr>
            </w:pPr>
          </w:p>
        </w:tc>
        <w:tc>
          <w:tcPr>
            <w:tcW w:w="2316" w:type="dxa"/>
            <w:tcBorders>
              <w:top w:val="single" w:sz="12" w:space="0" w:color="auto"/>
              <w:left w:val="single" w:sz="4" w:space="0" w:color="auto"/>
              <w:bottom w:val="single" w:sz="4" w:space="0" w:color="auto"/>
            </w:tcBorders>
            <w:shd w:val="clear" w:color="auto" w:fill="FFFFFF" w:themeFill="background1"/>
            <w:noWrap/>
            <w:vAlign w:val="center"/>
            <w:hideMark/>
          </w:tcPr>
          <w:p w14:paraId="118D9C4D" w14:textId="4A182D04"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2F1E1B">
              <w:rPr>
                <w:rFonts w:ascii="Times New Roman" w:eastAsia="Times New Roman" w:hAnsi="Times New Roman" w:cs="Times New Roman"/>
                <w:b/>
                <w:bCs/>
                <w:color w:val="000000"/>
                <w:kern w:val="0"/>
                <w:lang w:eastAsia="en-US" w:bidi="ar-SA"/>
              </w:rPr>
              <w:t>Low</w:t>
            </w:r>
            <w:r>
              <w:rPr>
                <w:rFonts w:ascii="Times New Roman" w:eastAsia="Times New Roman" w:hAnsi="Times New Roman" w:cs="Times New Roman"/>
                <w:b/>
                <w:bCs/>
                <w:color w:val="000000"/>
                <w:kern w:val="0"/>
                <w:lang w:eastAsia="en-US" w:bidi="ar-SA"/>
              </w:rPr>
              <w:t xml:space="preserve"> (</w:t>
            </w:r>
            <w:r w:rsidR="00967750">
              <w:rPr>
                <w:rFonts w:ascii="Times New Roman" w:eastAsia="Times New Roman" w:hAnsi="Times New Roman" w:cs="Times New Roman"/>
                <w:b/>
                <w:bCs/>
                <w:color w:val="000000"/>
                <w:kern w:val="0"/>
                <w:lang w:eastAsia="en-US" w:bidi="ar-SA"/>
              </w:rPr>
              <w:t xml:space="preserve">≤ </w:t>
            </w:r>
            <w:r>
              <w:rPr>
                <w:rFonts w:ascii="Times New Roman" w:eastAsia="Times New Roman" w:hAnsi="Times New Roman" w:cs="Times New Roman"/>
                <w:b/>
                <w:bCs/>
                <w:color w:val="000000"/>
                <w:kern w:val="0"/>
                <w:lang w:eastAsia="en-US" w:bidi="ar-SA"/>
              </w:rPr>
              <w:t>90%)</w:t>
            </w:r>
            <w:r w:rsidRPr="002F1E1B">
              <w:rPr>
                <w:rFonts w:ascii="Times New Roman" w:eastAsia="Times New Roman" w:hAnsi="Times New Roman" w:cs="Times New Roman"/>
                <w:b/>
                <w:bCs/>
                <w:color w:val="000000"/>
                <w:kern w:val="0"/>
                <w:lang w:eastAsia="en-US" w:bidi="ar-SA"/>
              </w:rPr>
              <w:t xml:space="preserve"> RH</w:t>
            </w:r>
          </w:p>
        </w:tc>
        <w:tc>
          <w:tcPr>
            <w:tcW w:w="2317" w:type="dxa"/>
            <w:tcBorders>
              <w:top w:val="single" w:sz="12" w:space="0" w:color="auto"/>
              <w:bottom w:val="single" w:sz="4" w:space="0" w:color="auto"/>
            </w:tcBorders>
            <w:shd w:val="clear" w:color="auto" w:fill="FFFFFF" w:themeFill="background1"/>
            <w:noWrap/>
            <w:vAlign w:val="center"/>
            <w:hideMark/>
          </w:tcPr>
          <w:p w14:paraId="00B1E6E8" w14:textId="095AB2BD"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2F1E1B">
              <w:rPr>
                <w:rFonts w:ascii="Times New Roman" w:eastAsia="Times New Roman" w:hAnsi="Times New Roman" w:cs="Times New Roman"/>
                <w:b/>
                <w:bCs/>
                <w:color w:val="000000"/>
                <w:kern w:val="0"/>
                <w:lang w:eastAsia="en-US" w:bidi="ar-SA"/>
              </w:rPr>
              <w:t>High</w:t>
            </w:r>
            <w:r>
              <w:rPr>
                <w:rFonts w:ascii="Times New Roman" w:eastAsia="Times New Roman" w:hAnsi="Times New Roman" w:cs="Times New Roman"/>
                <w:b/>
                <w:bCs/>
                <w:color w:val="000000"/>
                <w:kern w:val="0"/>
                <w:lang w:eastAsia="en-US" w:bidi="ar-SA"/>
              </w:rPr>
              <w:t xml:space="preserve"> (</w:t>
            </w:r>
            <w:r w:rsidR="00967750">
              <w:rPr>
                <w:rFonts w:ascii="Times New Roman" w:eastAsia="Times New Roman" w:hAnsi="Times New Roman" w:cs="Times New Roman"/>
                <w:b/>
                <w:bCs/>
                <w:color w:val="000000"/>
                <w:kern w:val="0"/>
                <w:lang w:eastAsia="en-US" w:bidi="ar-SA"/>
              </w:rPr>
              <w:t>&gt;</w:t>
            </w:r>
            <w:r>
              <w:rPr>
                <w:rFonts w:ascii="Times New Roman" w:eastAsia="Times New Roman" w:hAnsi="Times New Roman" w:cs="Times New Roman"/>
                <w:b/>
                <w:bCs/>
                <w:color w:val="000000"/>
                <w:kern w:val="0"/>
                <w:lang w:eastAsia="en-US" w:bidi="ar-SA"/>
              </w:rPr>
              <w:t xml:space="preserve"> 90%)</w:t>
            </w:r>
            <w:r w:rsidRPr="002F1E1B">
              <w:rPr>
                <w:rFonts w:ascii="Times New Roman" w:eastAsia="Times New Roman" w:hAnsi="Times New Roman" w:cs="Times New Roman"/>
                <w:b/>
                <w:bCs/>
                <w:color w:val="000000"/>
                <w:kern w:val="0"/>
                <w:lang w:eastAsia="en-US" w:bidi="ar-SA"/>
              </w:rPr>
              <w:t xml:space="preserve"> RH</w:t>
            </w:r>
          </w:p>
        </w:tc>
        <w:tc>
          <w:tcPr>
            <w:tcW w:w="2317" w:type="dxa"/>
            <w:tcBorders>
              <w:top w:val="single" w:sz="12" w:space="0" w:color="auto"/>
              <w:bottom w:val="single" w:sz="4" w:space="0" w:color="auto"/>
              <w:right w:val="dashed" w:sz="4" w:space="0" w:color="auto"/>
            </w:tcBorders>
            <w:shd w:val="clear" w:color="auto" w:fill="FFFFFF" w:themeFill="background1"/>
            <w:noWrap/>
            <w:vAlign w:val="center"/>
            <w:hideMark/>
          </w:tcPr>
          <w:p w14:paraId="43F3F6D9" w14:textId="77777777"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Saturated</w:t>
            </w:r>
          </w:p>
        </w:tc>
        <w:tc>
          <w:tcPr>
            <w:tcW w:w="1412" w:type="dxa"/>
            <w:tcBorders>
              <w:top w:val="single" w:sz="12" w:space="0" w:color="auto"/>
              <w:left w:val="dashed" w:sz="4" w:space="0" w:color="auto"/>
              <w:bottom w:val="single" w:sz="4" w:space="0" w:color="auto"/>
            </w:tcBorders>
            <w:shd w:val="clear" w:color="auto" w:fill="FFFFFF" w:themeFill="background1"/>
          </w:tcPr>
          <w:p w14:paraId="0151AEE4" w14:textId="77777777"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Total</w:t>
            </w:r>
          </w:p>
        </w:tc>
      </w:tr>
      <w:tr w:rsidR="00317ACF" w:rsidRPr="00CF0DF4" w14:paraId="232100C1" w14:textId="77777777" w:rsidTr="00217F8D">
        <w:trPr>
          <w:trHeight w:val="87"/>
        </w:trPr>
        <w:tc>
          <w:tcPr>
            <w:tcW w:w="998" w:type="dxa"/>
            <w:tcBorders>
              <w:right w:val="single" w:sz="4" w:space="0" w:color="auto"/>
            </w:tcBorders>
            <w:shd w:val="clear" w:color="auto" w:fill="FFFFFF" w:themeFill="background1"/>
            <w:noWrap/>
            <w:vAlign w:val="center"/>
            <w:hideMark/>
          </w:tcPr>
          <w:p w14:paraId="16BC5C41" w14:textId="77777777" w:rsidR="00317ACF" w:rsidRPr="00CF0DF4" w:rsidRDefault="00317ACF" w:rsidP="00BA53A2">
            <w:pPr>
              <w:suppressAutoHyphens w:val="0"/>
              <w:autoSpaceDN/>
              <w:textAlignment w:val="auto"/>
              <w:rPr>
                <w:rFonts w:ascii="Times New Roman" w:eastAsia="Times New Roman" w:hAnsi="Times New Roman" w:cs="Times New Roman"/>
                <w:bCs/>
                <w:color w:val="000000"/>
                <w:kern w:val="0"/>
                <w:lang w:eastAsia="en-US" w:bidi="ar-SA"/>
              </w:rPr>
            </w:pPr>
            <w:r w:rsidRPr="00CF0DF4">
              <w:rPr>
                <w:rFonts w:ascii="Times New Roman" w:eastAsia="Times New Roman" w:hAnsi="Times New Roman" w:cs="Times New Roman"/>
                <w:bCs/>
                <w:color w:val="000000"/>
                <w:kern w:val="0"/>
                <w:lang w:eastAsia="en-US" w:bidi="ar-SA"/>
              </w:rPr>
              <w:t>Spiral</w:t>
            </w:r>
          </w:p>
        </w:tc>
        <w:tc>
          <w:tcPr>
            <w:tcW w:w="2316" w:type="dxa"/>
            <w:tcBorders>
              <w:left w:val="single" w:sz="4" w:space="0" w:color="auto"/>
            </w:tcBorders>
            <w:shd w:val="clear" w:color="auto" w:fill="FFFFFF" w:themeFill="background1"/>
            <w:noWrap/>
            <w:vAlign w:val="center"/>
            <w:hideMark/>
          </w:tcPr>
          <w:p w14:paraId="532BFA63"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4</w:t>
            </w:r>
          </w:p>
        </w:tc>
        <w:tc>
          <w:tcPr>
            <w:tcW w:w="2317" w:type="dxa"/>
            <w:shd w:val="clear" w:color="auto" w:fill="FFFFFF" w:themeFill="background1"/>
            <w:noWrap/>
            <w:vAlign w:val="center"/>
            <w:hideMark/>
          </w:tcPr>
          <w:p w14:paraId="59317A76" w14:textId="27F52045" w:rsidR="00317ACF" w:rsidRPr="00CF0DF4" w:rsidRDefault="00BC3064" w:rsidP="00BA53A2">
            <w:pPr>
              <w:suppressAutoHyphens w:val="0"/>
              <w:autoSpaceDN/>
              <w:jc w:val="center"/>
              <w:textAlignment w:val="auto"/>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317" w:type="dxa"/>
            <w:tcBorders>
              <w:right w:val="dashed" w:sz="4" w:space="0" w:color="auto"/>
            </w:tcBorders>
            <w:shd w:val="clear" w:color="auto" w:fill="FFFFFF" w:themeFill="background1"/>
            <w:noWrap/>
            <w:vAlign w:val="center"/>
            <w:hideMark/>
          </w:tcPr>
          <w:p w14:paraId="5A33DA2E" w14:textId="30335A98" w:rsidR="00317ACF" w:rsidRPr="00CF0DF4" w:rsidRDefault="00BC3064" w:rsidP="00BA53A2">
            <w:pPr>
              <w:suppressAutoHyphens w:val="0"/>
              <w:autoSpaceDN/>
              <w:jc w:val="center"/>
              <w:textAlignment w:val="auto"/>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1412" w:type="dxa"/>
            <w:tcBorders>
              <w:left w:val="dashed" w:sz="4" w:space="0" w:color="auto"/>
            </w:tcBorders>
            <w:shd w:val="clear" w:color="auto" w:fill="FFFFFF" w:themeFill="background1"/>
          </w:tcPr>
          <w:p w14:paraId="12460456"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18</w:t>
            </w:r>
          </w:p>
        </w:tc>
      </w:tr>
      <w:tr w:rsidR="00317ACF" w:rsidRPr="00CF0DF4" w14:paraId="3292BFAC" w14:textId="77777777" w:rsidTr="00217F8D">
        <w:trPr>
          <w:trHeight w:val="87"/>
        </w:trPr>
        <w:tc>
          <w:tcPr>
            <w:tcW w:w="998" w:type="dxa"/>
            <w:tcBorders>
              <w:right w:val="single" w:sz="4" w:space="0" w:color="auto"/>
            </w:tcBorders>
            <w:shd w:val="clear" w:color="auto" w:fill="FFFFFF" w:themeFill="background1"/>
            <w:noWrap/>
            <w:vAlign w:val="center"/>
          </w:tcPr>
          <w:p w14:paraId="4426B7B7" w14:textId="77777777" w:rsidR="00317ACF" w:rsidRPr="00CF0DF4" w:rsidRDefault="00317ACF" w:rsidP="00BA53A2">
            <w:pPr>
              <w:suppressAutoHyphens w:val="0"/>
              <w:autoSpaceDN/>
              <w:textAlignment w:val="auto"/>
              <w:rPr>
                <w:rFonts w:ascii="Times New Roman" w:eastAsia="Times New Roman" w:hAnsi="Times New Roman" w:cs="Times New Roman"/>
                <w:bCs/>
                <w:color w:val="000000"/>
                <w:kern w:val="0"/>
                <w:lang w:eastAsia="en-US" w:bidi="ar-SA"/>
              </w:rPr>
            </w:pPr>
            <w:r w:rsidRPr="00CF0DF4">
              <w:rPr>
                <w:rFonts w:ascii="Times New Roman" w:eastAsia="Times New Roman" w:hAnsi="Times New Roman" w:cs="Times New Roman"/>
                <w:bCs/>
                <w:color w:val="000000"/>
                <w:kern w:val="0"/>
                <w:lang w:eastAsia="en-US" w:bidi="ar-SA"/>
              </w:rPr>
              <w:t>Ramp</w:t>
            </w:r>
          </w:p>
        </w:tc>
        <w:tc>
          <w:tcPr>
            <w:tcW w:w="2316" w:type="dxa"/>
            <w:tcBorders>
              <w:left w:val="single" w:sz="4" w:space="0" w:color="auto"/>
            </w:tcBorders>
            <w:shd w:val="clear" w:color="auto" w:fill="FFFFFF" w:themeFill="background1"/>
            <w:noWrap/>
            <w:vAlign w:val="center"/>
          </w:tcPr>
          <w:p w14:paraId="1C62CBE3"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5</w:t>
            </w:r>
          </w:p>
        </w:tc>
        <w:tc>
          <w:tcPr>
            <w:tcW w:w="2317" w:type="dxa"/>
            <w:shd w:val="clear" w:color="auto" w:fill="FFFFFF" w:themeFill="background1"/>
            <w:noWrap/>
            <w:vAlign w:val="center"/>
          </w:tcPr>
          <w:p w14:paraId="1534863B"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9</w:t>
            </w:r>
          </w:p>
        </w:tc>
        <w:tc>
          <w:tcPr>
            <w:tcW w:w="2317" w:type="dxa"/>
            <w:tcBorders>
              <w:right w:val="dashed" w:sz="4" w:space="0" w:color="auto"/>
            </w:tcBorders>
            <w:shd w:val="clear" w:color="auto" w:fill="FFFFFF" w:themeFill="background1"/>
            <w:noWrap/>
            <w:vAlign w:val="center"/>
          </w:tcPr>
          <w:p w14:paraId="1B0E32D8"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1</w:t>
            </w:r>
          </w:p>
        </w:tc>
        <w:tc>
          <w:tcPr>
            <w:tcW w:w="1412" w:type="dxa"/>
            <w:tcBorders>
              <w:left w:val="dashed" w:sz="4" w:space="0" w:color="auto"/>
            </w:tcBorders>
            <w:shd w:val="clear" w:color="auto" w:fill="FFFFFF" w:themeFill="background1"/>
          </w:tcPr>
          <w:p w14:paraId="0AC13ECC"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15</w:t>
            </w:r>
          </w:p>
        </w:tc>
      </w:tr>
      <w:tr w:rsidR="00317ACF" w:rsidRPr="00CF0DF4" w14:paraId="3C9D7156" w14:textId="77777777" w:rsidTr="00217F8D">
        <w:trPr>
          <w:trHeight w:val="77"/>
        </w:trPr>
        <w:tc>
          <w:tcPr>
            <w:tcW w:w="998" w:type="dxa"/>
            <w:tcBorders>
              <w:top w:val="dashed" w:sz="4" w:space="0" w:color="auto"/>
              <w:bottom w:val="single" w:sz="12" w:space="0" w:color="auto"/>
              <w:right w:val="single" w:sz="4" w:space="0" w:color="auto"/>
            </w:tcBorders>
            <w:shd w:val="clear" w:color="auto" w:fill="FFFFFF" w:themeFill="background1"/>
            <w:noWrap/>
            <w:vAlign w:val="center"/>
            <w:hideMark/>
          </w:tcPr>
          <w:p w14:paraId="42CFFFBA" w14:textId="77777777" w:rsidR="00317ACF" w:rsidRPr="00CF0DF4" w:rsidRDefault="00317ACF" w:rsidP="00BA53A2">
            <w:pPr>
              <w:suppressAutoHyphens w:val="0"/>
              <w:autoSpaceDN/>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Total</w:t>
            </w:r>
          </w:p>
        </w:tc>
        <w:tc>
          <w:tcPr>
            <w:tcW w:w="2316" w:type="dxa"/>
            <w:tcBorders>
              <w:top w:val="dashed" w:sz="4" w:space="0" w:color="auto"/>
              <w:left w:val="single" w:sz="4" w:space="0" w:color="auto"/>
              <w:bottom w:val="single" w:sz="12" w:space="0" w:color="auto"/>
            </w:tcBorders>
            <w:shd w:val="clear" w:color="auto" w:fill="FFFFFF" w:themeFill="background1"/>
            <w:noWrap/>
            <w:vAlign w:val="center"/>
            <w:hideMark/>
          </w:tcPr>
          <w:p w14:paraId="40925F08" w14:textId="77777777" w:rsidR="00317ACF" w:rsidRPr="00CF0DF4" w:rsidRDefault="00317ACF" w:rsidP="00BA53A2">
            <w:pPr>
              <w:suppressAutoHyphens w:val="0"/>
              <w:autoSpaceDN/>
              <w:jc w:val="center"/>
              <w:textAlignment w:val="auto"/>
              <w:rPr>
                <w:rFonts w:ascii="Times New Roman" w:eastAsia="Times New Roman" w:hAnsi="Times New Roman" w:cs="Times New Roman"/>
                <w:b/>
                <w:color w:val="000000"/>
                <w:kern w:val="0"/>
                <w:lang w:eastAsia="en-US" w:bidi="ar-SA"/>
              </w:rPr>
            </w:pPr>
            <w:r w:rsidRPr="00CF0DF4">
              <w:rPr>
                <w:rFonts w:ascii="Times New Roman" w:eastAsia="Times New Roman" w:hAnsi="Times New Roman" w:cs="Times New Roman"/>
                <w:b/>
                <w:color w:val="000000"/>
                <w:kern w:val="0"/>
                <w:lang w:eastAsia="en-US" w:bidi="ar-SA"/>
              </w:rPr>
              <w:t>9</w:t>
            </w:r>
          </w:p>
        </w:tc>
        <w:tc>
          <w:tcPr>
            <w:tcW w:w="2317" w:type="dxa"/>
            <w:tcBorders>
              <w:top w:val="dashed" w:sz="4" w:space="0" w:color="auto"/>
              <w:bottom w:val="single" w:sz="12" w:space="0" w:color="auto"/>
            </w:tcBorders>
            <w:shd w:val="clear" w:color="auto" w:fill="FFFFFF" w:themeFill="background1"/>
            <w:noWrap/>
            <w:vAlign w:val="center"/>
            <w:hideMark/>
          </w:tcPr>
          <w:p w14:paraId="4A54954A" w14:textId="1E7EECAE" w:rsidR="00317ACF" w:rsidRPr="00CF0DF4" w:rsidRDefault="00317ACF" w:rsidP="00BA53A2">
            <w:pPr>
              <w:suppressAutoHyphens w:val="0"/>
              <w:autoSpaceDN/>
              <w:jc w:val="center"/>
              <w:textAlignment w:val="auto"/>
              <w:rPr>
                <w:rFonts w:ascii="Times New Roman" w:eastAsia="Times New Roman" w:hAnsi="Times New Roman" w:cs="Times New Roman"/>
                <w:b/>
                <w:color w:val="000000"/>
                <w:kern w:val="0"/>
                <w:lang w:eastAsia="en-US" w:bidi="ar-SA"/>
              </w:rPr>
            </w:pPr>
            <w:r w:rsidRPr="00CF0DF4">
              <w:rPr>
                <w:rFonts w:ascii="Times New Roman" w:eastAsia="Times New Roman" w:hAnsi="Times New Roman" w:cs="Times New Roman"/>
                <w:b/>
                <w:color w:val="000000"/>
                <w:kern w:val="0"/>
                <w:lang w:eastAsia="en-US" w:bidi="ar-SA"/>
              </w:rPr>
              <w:t>1</w:t>
            </w:r>
            <w:r w:rsidR="00CE48AF">
              <w:rPr>
                <w:rFonts w:ascii="Times New Roman" w:eastAsia="Times New Roman" w:hAnsi="Times New Roman" w:cs="Times New Roman"/>
                <w:b/>
                <w:color w:val="000000"/>
                <w:kern w:val="0"/>
                <w:lang w:eastAsia="en-US" w:bidi="ar-SA"/>
              </w:rPr>
              <w:t>7</w:t>
            </w:r>
          </w:p>
        </w:tc>
        <w:tc>
          <w:tcPr>
            <w:tcW w:w="2317" w:type="dxa"/>
            <w:tcBorders>
              <w:top w:val="dashed" w:sz="4" w:space="0" w:color="auto"/>
              <w:bottom w:val="single" w:sz="12" w:space="0" w:color="auto"/>
              <w:right w:val="dashed" w:sz="4" w:space="0" w:color="auto"/>
            </w:tcBorders>
            <w:shd w:val="clear" w:color="auto" w:fill="FFFFFF" w:themeFill="background1"/>
            <w:noWrap/>
            <w:vAlign w:val="center"/>
            <w:hideMark/>
          </w:tcPr>
          <w:p w14:paraId="29F01A7D" w14:textId="382D4B12" w:rsidR="00317ACF" w:rsidRPr="00CF0DF4" w:rsidRDefault="006441A9" w:rsidP="00BA53A2">
            <w:pPr>
              <w:suppressAutoHyphens w:val="0"/>
              <w:autoSpaceDN/>
              <w:jc w:val="center"/>
              <w:textAlignment w:val="auto"/>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7</w:t>
            </w:r>
          </w:p>
        </w:tc>
        <w:tc>
          <w:tcPr>
            <w:tcW w:w="1412" w:type="dxa"/>
            <w:tcBorders>
              <w:top w:val="dashed" w:sz="4" w:space="0" w:color="auto"/>
              <w:left w:val="dashed" w:sz="4" w:space="0" w:color="auto"/>
              <w:bottom w:val="single" w:sz="12" w:space="0" w:color="auto"/>
            </w:tcBorders>
            <w:shd w:val="clear" w:color="auto" w:fill="FFFFFF" w:themeFill="background1"/>
          </w:tcPr>
          <w:p w14:paraId="7B3508BF" w14:textId="77777777" w:rsidR="00317ACF" w:rsidRPr="00CF0DF4" w:rsidRDefault="00317ACF" w:rsidP="00BA53A2">
            <w:pPr>
              <w:suppressAutoHyphens w:val="0"/>
              <w:autoSpaceDN/>
              <w:jc w:val="center"/>
              <w:textAlignment w:val="auto"/>
              <w:rPr>
                <w:rFonts w:ascii="Times New Roman" w:eastAsia="Times New Roman" w:hAnsi="Times New Roman" w:cs="Times New Roman"/>
                <w:b/>
                <w:color w:val="000000"/>
                <w:kern w:val="0"/>
                <w:lang w:eastAsia="en-US" w:bidi="ar-SA"/>
              </w:rPr>
            </w:pPr>
            <w:r w:rsidRPr="00CF0DF4">
              <w:rPr>
                <w:rFonts w:ascii="Times New Roman" w:eastAsia="Times New Roman" w:hAnsi="Times New Roman" w:cs="Times New Roman"/>
                <w:b/>
                <w:color w:val="000000"/>
                <w:kern w:val="0"/>
                <w:lang w:eastAsia="en-US" w:bidi="ar-SA"/>
              </w:rPr>
              <w:t>33</w:t>
            </w:r>
          </w:p>
        </w:tc>
      </w:tr>
    </w:tbl>
    <w:p w14:paraId="7F11C415" w14:textId="230FED60" w:rsidR="00317ACF" w:rsidRPr="00CF0DF4" w:rsidRDefault="00317ACF" w:rsidP="00317ACF">
      <w:pPr>
        <w:pStyle w:val="Body"/>
        <w:rPr>
          <w:lang w:val="en-US"/>
        </w:rPr>
      </w:pPr>
      <w:r w:rsidRPr="00CF0DF4">
        <w:rPr>
          <w:lang w:val="en-US"/>
        </w:rPr>
        <w:t xml:space="preserve">The aircraft profile sampling characteristics and melting layer relative humidity are given in </w:t>
      </w:r>
      <w:r w:rsidRPr="00CF0DF4">
        <w:rPr>
          <w:lang w:val="en-US"/>
        </w:rPr>
        <w:fldChar w:fldCharType="begin"/>
      </w:r>
      <w:r w:rsidRPr="00CF0DF4">
        <w:rPr>
          <w:lang w:val="en-US"/>
        </w:rPr>
        <w:instrText xml:space="preserve"> REF _Ref107034785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5</w:t>
      </w:r>
      <w:r w:rsidRPr="00CF0DF4">
        <w:rPr>
          <w:lang w:val="en-US"/>
        </w:rPr>
        <w:fldChar w:fldCharType="end"/>
      </w:r>
      <w:r w:rsidRPr="00CF0DF4">
        <w:rPr>
          <w:lang w:val="en-US"/>
        </w:rPr>
        <w:t xml:space="preserve">. Six of the nine low relative humidity cases are from MC3E, which had the lowest (63 percent) relative humidity. All five melting layers from GCPEX are during a single flight; however, the profile type and relative humidity varied, as well as the depth of the melting layer. The two IPHEX melting layers have similar depths at approximately 336 m and 347 m, while the melting layer relative humidity is </w:t>
      </w:r>
      <w:r w:rsidR="001C08BD">
        <w:rPr>
          <w:lang w:val="en-US"/>
        </w:rPr>
        <w:t>100</w:t>
      </w:r>
      <w:r w:rsidRPr="00CF0DF4">
        <w:rPr>
          <w:lang w:val="en-US"/>
        </w:rPr>
        <w:t xml:space="preserve"> percent and </w:t>
      </w:r>
      <w:r w:rsidR="001C08BD">
        <w:rPr>
          <w:lang w:val="en-US"/>
        </w:rPr>
        <w:t>92</w:t>
      </w:r>
      <w:r w:rsidRPr="00CF0DF4">
        <w:rPr>
          <w:lang w:val="en-US"/>
        </w:rPr>
        <w:t xml:space="preserve"> percent, respectively. OLYMPEX has the most cases with fifteen profiles from ten flights. Nine of the fifteen OLYMPEX profiles are ramps. Additionally, OLYMPEX has some of the shallowest melting layer depths, as little as 65 m. The relative humidity is typically high during OLYMPEX with relative humidity being above 90 percent for all but one melting layer, and a relative humidity across all cases of 96.4 percent. </w:t>
      </w:r>
      <w:r w:rsidRPr="00CF0DF4">
        <w:rPr>
          <w:lang w:val="en-US"/>
        </w:rPr>
        <w:lastRenderedPageBreak/>
        <w:t>Finally, IMPACTS saw two deep melting layers, both near 500 m deep and relative humidity near 95 percent.</w:t>
      </w:r>
    </w:p>
    <w:p w14:paraId="679C63A5" w14:textId="2923E017" w:rsidR="00317ACF" w:rsidRPr="00CF0DF4" w:rsidRDefault="00317ACF" w:rsidP="00317ACF">
      <w:pPr>
        <w:pStyle w:val="Caption-Table"/>
        <w:rPr>
          <w:lang w:val="en-US"/>
        </w:rPr>
      </w:pPr>
      <w:bookmarkStart w:id="74" w:name="_Ref107034785"/>
      <w:bookmarkStart w:id="75" w:name="_Toc109123152"/>
      <w:bookmarkStart w:id="76" w:name="_Toc109123159"/>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5</w:t>
      </w:r>
      <w:r w:rsidRPr="00CF0DF4">
        <w:rPr>
          <w:lang w:val="en-US"/>
        </w:rPr>
        <w:fldChar w:fldCharType="end"/>
      </w:r>
      <w:bookmarkEnd w:id="74"/>
      <w:r w:rsidRPr="00CF0DF4">
        <w:rPr>
          <w:lang w:val="en-US"/>
        </w:rPr>
        <w:t xml:space="preserve">: </w:t>
      </w:r>
      <w:r w:rsidR="002D5B9A" w:rsidRPr="007F2F00">
        <w:rPr>
          <w:lang w:val="en-US"/>
        </w:rPr>
        <w:t>Table showing a summary of the melting layer aircraft observations where the case name is based on the field campaign, profile</w:t>
      </w:r>
      <w:r w:rsidR="002D5B9A">
        <w:rPr>
          <w:lang w:val="en-US"/>
        </w:rPr>
        <w:t xml:space="preserve"> type</w:t>
      </w:r>
      <w:r w:rsidR="002D5B9A" w:rsidRPr="007F2F00">
        <w:rPr>
          <w:lang w:val="en-US"/>
        </w:rPr>
        <w:t>, and relative humidity (RH). Case</w:t>
      </w:r>
      <w:r w:rsidR="00121611">
        <w:rPr>
          <w:lang w:val="en-US"/>
        </w:rPr>
        <w:t>s</w:t>
      </w:r>
      <w:r w:rsidR="002D5B9A">
        <w:rPr>
          <w:lang w:val="en-US"/>
        </w:rPr>
        <w:t xml:space="preserve"> are listed in descending relative humidity order with row shading for</w:t>
      </w:r>
      <w:r w:rsidR="002D5B9A" w:rsidRPr="007F2F00">
        <w:rPr>
          <w:lang w:val="en-US"/>
        </w:rPr>
        <w:t xml:space="preserve"> three relative humidity ranges: saturated, greater than 90 percent, and 90 percent or less.</w:t>
      </w:r>
      <w:bookmarkEnd w:id="75"/>
      <w:bookmarkEnd w:id="76"/>
    </w:p>
    <w:tbl>
      <w:tblPr>
        <w:tblStyle w:val="TableGrid"/>
        <w:tblpPr w:bottomFromText="346" w:vertAnchor="text" w:tblpXSpec="center" w:tblpY="1"/>
        <w:tblOverlap w:val="never"/>
        <w:tblW w:w="9360"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4"/>
        <w:gridCol w:w="1440"/>
        <w:gridCol w:w="720"/>
        <w:gridCol w:w="864"/>
        <w:gridCol w:w="720"/>
        <w:gridCol w:w="1008"/>
        <w:gridCol w:w="1008"/>
        <w:gridCol w:w="576"/>
      </w:tblGrid>
      <w:tr w:rsidR="00094B7E" w:rsidRPr="00CF0DF4" w14:paraId="0D6CF2DB" w14:textId="77777777" w:rsidTr="005B536D">
        <w:trPr>
          <w:trHeight w:val="20"/>
        </w:trPr>
        <w:tc>
          <w:tcPr>
            <w:tcW w:w="3024" w:type="dxa"/>
            <w:tcBorders>
              <w:bottom w:val="nil"/>
            </w:tcBorders>
            <w:noWrap/>
            <w:vAlign w:val="center"/>
            <w:hideMark/>
          </w:tcPr>
          <w:p w14:paraId="75A7A142" w14:textId="54DAF027" w:rsidR="00094B7E" w:rsidRPr="00CF0DF4" w:rsidRDefault="00094B7E" w:rsidP="00BA53A2">
            <w:pPr>
              <w:pStyle w:val="Body-TableHeading"/>
            </w:pPr>
            <w:r w:rsidRPr="00CF0DF4">
              <w:t>Case</w:t>
            </w:r>
            <w:r w:rsidR="003B24D5">
              <w:t xml:space="preserve"> Label</w:t>
            </w:r>
          </w:p>
        </w:tc>
        <w:tc>
          <w:tcPr>
            <w:tcW w:w="1440" w:type="dxa"/>
            <w:tcBorders>
              <w:bottom w:val="nil"/>
            </w:tcBorders>
          </w:tcPr>
          <w:p w14:paraId="2C65EBBC" w14:textId="027D29FD" w:rsidR="00094B7E" w:rsidRPr="00CF0DF4" w:rsidRDefault="00225A74" w:rsidP="00BA53A2">
            <w:pPr>
              <w:pStyle w:val="Body-TableHeading"/>
              <w:jc w:val="center"/>
            </w:pPr>
            <w:r w:rsidRPr="00CF0DF4">
              <w:t>Date</w:t>
            </w:r>
          </w:p>
        </w:tc>
        <w:tc>
          <w:tcPr>
            <w:tcW w:w="720" w:type="dxa"/>
            <w:tcBorders>
              <w:bottom w:val="nil"/>
            </w:tcBorders>
            <w:noWrap/>
            <w:vAlign w:val="center"/>
            <w:hideMark/>
          </w:tcPr>
          <w:p w14:paraId="3AE24588" w14:textId="2F034B21" w:rsidR="00094B7E" w:rsidRPr="00CF0DF4" w:rsidRDefault="00094B7E" w:rsidP="00BA53A2">
            <w:pPr>
              <w:pStyle w:val="Body-TableHeading"/>
              <w:jc w:val="center"/>
            </w:pPr>
            <w:r w:rsidRPr="00CF0DF4">
              <w:t>Start</w:t>
            </w:r>
          </w:p>
        </w:tc>
        <w:tc>
          <w:tcPr>
            <w:tcW w:w="864" w:type="dxa"/>
            <w:tcBorders>
              <w:bottom w:val="nil"/>
            </w:tcBorders>
            <w:noWrap/>
            <w:vAlign w:val="center"/>
            <w:hideMark/>
          </w:tcPr>
          <w:p w14:paraId="15924342" w14:textId="70E625E2" w:rsidR="00094B7E" w:rsidRPr="00CF0DF4" w:rsidRDefault="00094B7E" w:rsidP="00BA53A2">
            <w:pPr>
              <w:pStyle w:val="Body-TableHeading"/>
              <w:jc w:val="center"/>
            </w:pPr>
            <w:r w:rsidRPr="00CF0DF4">
              <w:t>Length</w:t>
            </w:r>
          </w:p>
        </w:tc>
        <w:tc>
          <w:tcPr>
            <w:tcW w:w="720" w:type="dxa"/>
            <w:tcBorders>
              <w:bottom w:val="nil"/>
            </w:tcBorders>
            <w:noWrap/>
            <w:vAlign w:val="center"/>
            <w:hideMark/>
          </w:tcPr>
          <w:p w14:paraId="272AEE14" w14:textId="77777777" w:rsidR="00094B7E" w:rsidRPr="00CF0DF4" w:rsidRDefault="00094B7E" w:rsidP="00BA53A2">
            <w:pPr>
              <w:pStyle w:val="Body-TableHeading"/>
              <w:jc w:val="center"/>
            </w:pPr>
            <w:r w:rsidRPr="00CF0DF4">
              <w:t>Depth</w:t>
            </w:r>
          </w:p>
        </w:tc>
        <w:tc>
          <w:tcPr>
            <w:tcW w:w="2016" w:type="dxa"/>
            <w:gridSpan w:val="2"/>
            <w:tcBorders>
              <w:bottom w:val="nil"/>
            </w:tcBorders>
            <w:noWrap/>
            <w:vAlign w:val="center"/>
            <w:hideMark/>
          </w:tcPr>
          <w:p w14:paraId="34FC4A76" w14:textId="7AA3E864" w:rsidR="00094B7E" w:rsidRPr="00CF0DF4" w:rsidRDefault="00094B7E" w:rsidP="00BA53A2">
            <w:pPr>
              <w:pStyle w:val="Body-TableHeading"/>
              <w:jc w:val="center"/>
            </w:pPr>
            <w:r w:rsidRPr="00CF0DF4">
              <w:t>Profile Type</w:t>
            </w:r>
          </w:p>
        </w:tc>
        <w:tc>
          <w:tcPr>
            <w:tcW w:w="576" w:type="dxa"/>
            <w:tcBorders>
              <w:bottom w:val="nil"/>
            </w:tcBorders>
            <w:noWrap/>
            <w:vAlign w:val="center"/>
            <w:hideMark/>
          </w:tcPr>
          <w:p w14:paraId="4DC15880" w14:textId="77777777" w:rsidR="00094B7E" w:rsidRPr="00CF0DF4" w:rsidRDefault="00094B7E" w:rsidP="00BA53A2">
            <w:pPr>
              <w:pStyle w:val="Body-TableHeading"/>
              <w:jc w:val="center"/>
            </w:pPr>
            <w:r w:rsidRPr="00CF0DF4">
              <w:t>RH</w:t>
            </w:r>
          </w:p>
        </w:tc>
      </w:tr>
      <w:tr w:rsidR="005E1182" w:rsidRPr="00CF0DF4" w14:paraId="5DCECF88" w14:textId="77777777" w:rsidTr="005B536D">
        <w:trPr>
          <w:trHeight w:val="20"/>
        </w:trPr>
        <w:tc>
          <w:tcPr>
            <w:tcW w:w="3024" w:type="dxa"/>
            <w:tcBorders>
              <w:top w:val="nil"/>
              <w:bottom w:val="single" w:sz="4" w:space="0" w:color="auto"/>
            </w:tcBorders>
            <w:noWrap/>
            <w:vAlign w:val="center"/>
            <w:hideMark/>
          </w:tcPr>
          <w:p w14:paraId="27AD728F" w14:textId="777C2DAF" w:rsidR="00094B7E" w:rsidRPr="00CF0DF4" w:rsidRDefault="003B24D5" w:rsidP="00BA53A2">
            <w:pPr>
              <w:pStyle w:val="Body-TableHeading"/>
              <w:rPr>
                <w:b w:val="0"/>
                <w:bCs/>
                <w:i/>
                <w:iCs/>
              </w:rPr>
            </w:pPr>
            <w:proofErr w:type="spellStart"/>
            <w:r>
              <w:rPr>
                <w:b w:val="0"/>
                <w:bCs/>
                <w:i/>
                <w:iCs/>
              </w:rPr>
              <w:t>Project_Profile_RH</w:t>
            </w:r>
            <w:proofErr w:type="spellEnd"/>
          </w:p>
        </w:tc>
        <w:tc>
          <w:tcPr>
            <w:tcW w:w="1440" w:type="dxa"/>
            <w:tcBorders>
              <w:top w:val="nil"/>
              <w:bottom w:val="single" w:sz="4" w:space="0" w:color="auto"/>
            </w:tcBorders>
          </w:tcPr>
          <w:p w14:paraId="53C14FB7" w14:textId="6E9AE425" w:rsidR="00094B7E" w:rsidRPr="00CF0DF4" w:rsidRDefault="00BE2990" w:rsidP="00BA53A2">
            <w:pPr>
              <w:pStyle w:val="Body-TableHeading"/>
              <w:jc w:val="center"/>
              <w:rPr>
                <w:b w:val="0"/>
                <w:bCs/>
                <w:i/>
                <w:iCs/>
              </w:rPr>
            </w:pPr>
            <w:r w:rsidRPr="00CF0DF4">
              <w:rPr>
                <w:b w:val="0"/>
                <w:bCs/>
                <w:i/>
                <w:iCs/>
              </w:rPr>
              <w:t>YYYYMMDD</w:t>
            </w:r>
          </w:p>
        </w:tc>
        <w:tc>
          <w:tcPr>
            <w:tcW w:w="720" w:type="dxa"/>
            <w:tcBorders>
              <w:top w:val="nil"/>
              <w:bottom w:val="single" w:sz="4" w:space="0" w:color="auto"/>
            </w:tcBorders>
            <w:noWrap/>
            <w:vAlign w:val="center"/>
            <w:hideMark/>
          </w:tcPr>
          <w:p w14:paraId="441097DD" w14:textId="70A70D97" w:rsidR="00094B7E" w:rsidRPr="00CF0DF4" w:rsidRDefault="00094B7E" w:rsidP="00BA53A2">
            <w:pPr>
              <w:pStyle w:val="Body-TableHeading"/>
              <w:jc w:val="center"/>
              <w:rPr>
                <w:b w:val="0"/>
                <w:bCs/>
                <w:i/>
                <w:iCs/>
              </w:rPr>
            </w:pPr>
            <w:r w:rsidRPr="00CF0DF4">
              <w:rPr>
                <w:b w:val="0"/>
                <w:bCs/>
                <w:i/>
                <w:iCs/>
              </w:rPr>
              <w:t>sfm</w:t>
            </w:r>
          </w:p>
        </w:tc>
        <w:tc>
          <w:tcPr>
            <w:tcW w:w="864" w:type="dxa"/>
            <w:tcBorders>
              <w:top w:val="nil"/>
              <w:bottom w:val="single" w:sz="4" w:space="0" w:color="auto"/>
            </w:tcBorders>
            <w:noWrap/>
            <w:vAlign w:val="center"/>
            <w:hideMark/>
          </w:tcPr>
          <w:p w14:paraId="4B9ED0CD" w14:textId="77777777" w:rsidR="00094B7E" w:rsidRPr="00CF0DF4" w:rsidRDefault="00094B7E" w:rsidP="00BA53A2">
            <w:pPr>
              <w:pStyle w:val="Body-TableHeading"/>
              <w:jc w:val="center"/>
              <w:rPr>
                <w:b w:val="0"/>
                <w:bCs/>
                <w:i/>
                <w:iCs/>
              </w:rPr>
            </w:pPr>
            <w:r w:rsidRPr="00CF0DF4">
              <w:rPr>
                <w:b w:val="0"/>
                <w:bCs/>
                <w:i/>
                <w:iCs/>
              </w:rPr>
              <w:t>s</w:t>
            </w:r>
          </w:p>
        </w:tc>
        <w:tc>
          <w:tcPr>
            <w:tcW w:w="720" w:type="dxa"/>
            <w:tcBorders>
              <w:top w:val="nil"/>
              <w:bottom w:val="single" w:sz="4" w:space="0" w:color="auto"/>
            </w:tcBorders>
            <w:noWrap/>
            <w:vAlign w:val="center"/>
            <w:hideMark/>
          </w:tcPr>
          <w:p w14:paraId="26BD284F" w14:textId="77777777" w:rsidR="00094B7E" w:rsidRPr="00CF0DF4" w:rsidRDefault="00094B7E" w:rsidP="00BA53A2">
            <w:pPr>
              <w:pStyle w:val="Body-TableHeading"/>
              <w:jc w:val="center"/>
              <w:rPr>
                <w:b w:val="0"/>
                <w:bCs/>
                <w:i/>
                <w:iCs/>
              </w:rPr>
            </w:pPr>
            <w:r w:rsidRPr="00CF0DF4">
              <w:rPr>
                <w:b w:val="0"/>
                <w:bCs/>
                <w:i/>
                <w:iCs/>
              </w:rPr>
              <w:t>m</w:t>
            </w:r>
          </w:p>
        </w:tc>
        <w:tc>
          <w:tcPr>
            <w:tcW w:w="1008" w:type="dxa"/>
            <w:tcBorders>
              <w:top w:val="nil"/>
              <w:bottom w:val="single" w:sz="4" w:space="0" w:color="auto"/>
            </w:tcBorders>
            <w:noWrap/>
            <w:vAlign w:val="center"/>
            <w:hideMark/>
          </w:tcPr>
          <w:p w14:paraId="41C01E63" w14:textId="77777777" w:rsidR="00094B7E" w:rsidRPr="00CF0DF4" w:rsidRDefault="00094B7E" w:rsidP="00094B7E">
            <w:pPr>
              <w:pStyle w:val="Body-TableHeading"/>
              <w:rPr>
                <w:b w:val="0"/>
                <w:bCs/>
                <w:i/>
                <w:iCs/>
              </w:rPr>
            </w:pPr>
          </w:p>
        </w:tc>
        <w:tc>
          <w:tcPr>
            <w:tcW w:w="1008" w:type="dxa"/>
            <w:tcBorders>
              <w:top w:val="nil"/>
              <w:bottom w:val="single" w:sz="4" w:space="0" w:color="auto"/>
            </w:tcBorders>
            <w:noWrap/>
            <w:vAlign w:val="center"/>
            <w:hideMark/>
          </w:tcPr>
          <w:p w14:paraId="025AA4F2" w14:textId="77777777" w:rsidR="00094B7E" w:rsidRPr="00CF0DF4" w:rsidRDefault="00094B7E" w:rsidP="00BA53A2">
            <w:pPr>
              <w:pStyle w:val="Body-TableHeading"/>
              <w:jc w:val="center"/>
              <w:rPr>
                <w:b w:val="0"/>
                <w:bCs/>
                <w:i/>
                <w:iCs/>
              </w:rPr>
            </w:pPr>
          </w:p>
        </w:tc>
        <w:tc>
          <w:tcPr>
            <w:tcW w:w="576" w:type="dxa"/>
            <w:tcBorders>
              <w:top w:val="nil"/>
              <w:bottom w:val="single" w:sz="4" w:space="0" w:color="auto"/>
            </w:tcBorders>
            <w:noWrap/>
            <w:vAlign w:val="center"/>
            <w:hideMark/>
          </w:tcPr>
          <w:p w14:paraId="6A767762" w14:textId="77777777" w:rsidR="00094B7E" w:rsidRPr="00CF0DF4" w:rsidRDefault="00094B7E" w:rsidP="00BA53A2">
            <w:pPr>
              <w:pStyle w:val="Body-TableHeading"/>
              <w:jc w:val="center"/>
              <w:rPr>
                <w:b w:val="0"/>
                <w:bCs/>
                <w:i/>
                <w:iCs/>
              </w:rPr>
            </w:pPr>
            <w:r w:rsidRPr="00CF0DF4">
              <w:rPr>
                <w:b w:val="0"/>
                <w:bCs/>
                <w:i/>
                <w:iCs/>
              </w:rPr>
              <w:t>%</w:t>
            </w:r>
          </w:p>
        </w:tc>
      </w:tr>
      <w:tr w:rsidR="00B138B3" w:rsidRPr="00CF0DF4" w14:paraId="769DE0F6" w14:textId="77777777" w:rsidTr="005B536D">
        <w:trPr>
          <w:trHeight w:val="20"/>
        </w:trPr>
        <w:tc>
          <w:tcPr>
            <w:tcW w:w="3024" w:type="dxa"/>
            <w:tcBorders>
              <w:top w:val="single" w:sz="4" w:space="0" w:color="auto"/>
            </w:tcBorders>
            <w:shd w:val="clear" w:color="auto" w:fill="EAEAEA"/>
            <w:noWrap/>
            <w:vAlign w:val="center"/>
            <w:hideMark/>
          </w:tcPr>
          <w:p w14:paraId="61FC7895" w14:textId="77777777" w:rsidR="00B138B3" w:rsidRPr="00CF0DF4" w:rsidRDefault="00B138B3" w:rsidP="00B138B3">
            <w:pPr>
              <w:pStyle w:val="Body-Table"/>
            </w:pPr>
            <w:r w:rsidRPr="00CF0DF4">
              <w:t>OLYMPEX_Spi-Des_100RHa</w:t>
            </w:r>
          </w:p>
        </w:tc>
        <w:tc>
          <w:tcPr>
            <w:tcW w:w="1440" w:type="dxa"/>
            <w:tcBorders>
              <w:top w:val="single" w:sz="4" w:space="0" w:color="auto"/>
            </w:tcBorders>
            <w:shd w:val="clear" w:color="auto" w:fill="EAEAEA"/>
          </w:tcPr>
          <w:p w14:paraId="6E631539" w14:textId="07553F64" w:rsidR="00B138B3" w:rsidRPr="00CF0DF4" w:rsidRDefault="00B138B3" w:rsidP="00B138B3">
            <w:pPr>
              <w:pStyle w:val="Body-Table"/>
              <w:jc w:val="center"/>
            </w:pPr>
            <w:r w:rsidRPr="00CF0DF4">
              <w:t>20151023</w:t>
            </w:r>
          </w:p>
        </w:tc>
        <w:tc>
          <w:tcPr>
            <w:tcW w:w="720" w:type="dxa"/>
            <w:tcBorders>
              <w:top w:val="single" w:sz="4" w:space="0" w:color="auto"/>
            </w:tcBorders>
            <w:shd w:val="clear" w:color="auto" w:fill="EAEAEA"/>
            <w:noWrap/>
            <w:vAlign w:val="center"/>
            <w:hideMark/>
          </w:tcPr>
          <w:p w14:paraId="2DAAE6B7" w14:textId="1CCFE3CE" w:rsidR="00B138B3" w:rsidRPr="00CF0DF4" w:rsidRDefault="00B138B3" w:rsidP="00B138B3">
            <w:pPr>
              <w:pStyle w:val="Body-Table"/>
              <w:jc w:val="center"/>
            </w:pPr>
            <w:r w:rsidRPr="00CF0DF4">
              <w:t>57664</w:t>
            </w:r>
          </w:p>
        </w:tc>
        <w:tc>
          <w:tcPr>
            <w:tcW w:w="864" w:type="dxa"/>
            <w:tcBorders>
              <w:top w:val="single" w:sz="4" w:space="0" w:color="auto"/>
            </w:tcBorders>
            <w:shd w:val="clear" w:color="auto" w:fill="EAEAEA"/>
            <w:noWrap/>
            <w:vAlign w:val="center"/>
            <w:hideMark/>
          </w:tcPr>
          <w:p w14:paraId="1061B441" w14:textId="77777777" w:rsidR="00B138B3" w:rsidRPr="00CF0DF4" w:rsidRDefault="00B138B3" w:rsidP="00B138B3">
            <w:pPr>
              <w:pStyle w:val="Body-Table"/>
              <w:jc w:val="center"/>
            </w:pPr>
            <w:r w:rsidRPr="00CF0DF4">
              <w:t>22</w:t>
            </w:r>
          </w:p>
        </w:tc>
        <w:tc>
          <w:tcPr>
            <w:tcW w:w="720" w:type="dxa"/>
            <w:tcBorders>
              <w:top w:val="single" w:sz="4" w:space="0" w:color="auto"/>
            </w:tcBorders>
            <w:shd w:val="clear" w:color="auto" w:fill="EAEAEA"/>
            <w:noWrap/>
            <w:vAlign w:val="center"/>
            <w:hideMark/>
          </w:tcPr>
          <w:p w14:paraId="0F4CD6D1" w14:textId="77777777" w:rsidR="00B138B3" w:rsidRPr="00CF0DF4" w:rsidRDefault="00B138B3" w:rsidP="00B138B3">
            <w:pPr>
              <w:pStyle w:val="Body-Table"/>
              <w:jc w:val="center"/>
            </w:pPr>
            <w:r w:rsidRPr="00CF0DF4">
              <w:t>83</w:t>
            </w:r>
          </w:p>
        </w:tc>
        <w:tc>
          <w:tcPr>
            <w:tcW w:w="1008" w:type="dxa"/>
            <w:tcBorders>
              <w:top w:val="single" w:sz="4" w:space="0" w:color="auto"/>
            </w:tcBorders>
            <w:shd w:val="clear" w:color="auto" w:fill="EAEAEA"/>
            <w:noWrap/>
            <w:vAlign w:val="center"/>
            <w:hideMark/>
          </w:tcPr>
          <w:p w14:paraId="11D9C20E" w14:textId="77777777" w:rsidR="00B138B3" w:rsidRPr="00CF0DF4" w:rsidRDefault="00B138B3" w:rsidP="00B138B3">
            <w:pPr>
              <w:pStyle w:val="Body-Table"/>
              <w:jc w:val="center"/>
            </w:pPr>
            <w:r w:rsidRPr="00CF0DF4">
              <w:t>Spiral</w:t>
            </w:r>
          </w:p>
        </w:tc>
        <w:tc>
          <w:tcPr>
            <w:tcW w:w="1008" w:type="dxa"/>
            <w:tcBorders>
              <w:top w:val="single" w:sz="4" w:space="0" w:color="auto"/>
            </w:tcBorders>
            <w:shd w:val="clear" w:color="auto" w:fill="EAEAEA"/>
            <w:noWrap/>
            <w:vAlign w:val="center"/>
            <w:hideMark/>
          </w:tcPr>
          <w:p w14:paraId="69F65A6A" w14:textId="77777777" w:rsidR="00B138B3" w:rsidRPr="00CF0DF4" w:rsidRDefault="00B138B3" w:rsidP="00B138B3">
            <w:pPr>
              <w:pStyle w:val="Body-Table"/>
              <w:jc w:val="center"/>
            </w:pPr>
            <w:r w:rsidRPr="00CF0DF4">
              <w:t>Descent</w:t>
            </w:r>
          </w:p>
        </w:tc>
        <w:tc>
          <w:tcPr>
            <w:tcW w:w="576" w:type="dxa"/>
            <w:tcBorders>
              <w:top w:val="single" w:sz="4" w:space="0" w:color="auto"/>
            </w:tcBorders>
            <w:shd w:val="clear" w:color="auto" w:fill="EAEAEA"/>
            <w:noWrap/>
            <w:vAlign w:val="center"/>
            <w:hideMark/>
          </w:tcPr>
          <w:p w14:paraId="2AF791B7" w14:textId="77777777" w:rsidR="00B138B3" w:rsidRPr="00CF0DF4" w:rsidRDefault="00B138B3" w:rsidP="00B138B3">
            <w:pPr>
              <w:pStyle w:val="Body-Table"/>
              <w:jc w:val="center"/>
            </w:pPr>
            <w:r w:rsidRPr="00CF0DF4">
              <w:t>100</w:t>
            </w:r>
          </w:p>
        </w:tc>
      </w:tr>
      <w:tr w:rsidR="00B138B3" w:rsidRPr="00CF0DF4" w14:paraId="7C5CCEAD" w14:textId="77777777" w:rsidTr="005B536D">
        <w:trPr>
          <w:trHeight w:val="20"/>
        </w:trPr>
        <w:tc>
          <w:tcPr>
            <w:tcW w:w="3024" w:type="dxa"/>
            <w:shd w:val="clear" w:color="auto" w:fill="EAEAEA"/>
            <w:noWrap/>
            <w:vAlign w:val="center"/>
            <w:hideMark/>
          </w:tcPr>
          <w:p w14:paraId="21CC2226" w14:textId="77777777" w:rsidR="00B138B3" w:rsidRPr="00CF0DF4" w:rsidRDefault="00B138B3" w:rsidP="00B138B3">
            <w:pPr>
              <w:pStyle w:val="Body-Table"/>
            </w:pPr>
            <w:r w:rsidRPr="00CF0DF4">
              <w:t>OLYMPEX_Ram-Des_100RH</w:t>
            </w:r>
          </w:p>
        </w:tc>
        <w:tc>
          <w:tcPr>
            <w:tcW w:w="1440" w:type="dxa"/>
            <w:shd w:val="clear" w:color="auto" w:fill="EAEAEA"/>
          </w:tcPr>
          <w:p w14:paraId="761A4691" w14:textId="6C6D8A1C" w:rsidR="00B138B3" w:rsidRPr="00CF0DF4" w:rsidRDefault="00B138B3" w:rsidP="00B138B3">
            <w:pPr>
              <w:pStyle w:val="Body-Table"/>
              <w:jc w:val="center"/>
            </w:pPr>
            <w:r w:rsidRPr="00CF0DF4">
              <w:t>20151112</w:t>
            </w:r>
          </w:p>
        </w:tc>
        <w:tc>
          <w:tcPr>
            <w:tcW w:w="720" w:type="dxa"/>
            <w:shd w:val="clear" w:color="auto" w:fill="EAEAEA"/>
            <w:noWrap/>
            <w:vAlign w:val="center"/>
            <w:hideMark/>
          </w:tcPr>
          <w:p w14:paraId="2F46CB1F" w14:textId="56BB9A46" w:rsidR="00B138B3" w:rsidRPr="00CF0DF4" w:rsidRDefault="00B138B3" w:rsidP="00B138B3">
            <w:pPr>
              <w:pStyle w:val="Body-Table"/>
              <w:jc w:val="center"/>
            </w:pPr>
            <w:r w:rsidRPr="00CF0DF4">
              <w:t>75578</w:t>
            </w:r>
          </w:p>
        </w:tc>
        <w:tc>
          <w:tcPr>
            <w:tcW w:w="864" w:type="dxa"/>
            <w:shd w:val="clear" w:color="auto" w:fill="EAEAEA"/>
            <w:noWrap/>
            <w:vAlign w:val="center"/>
            <w:hideMark/>
          </w:tcPr>
          <w:p w14:paraId="49EB2A65" w14:textId="77777777" w:rsidR="00B138B3" w:rsidRPr="00CF0DF4" w:rsidRDefault="00B138B3" w:rsidP="00B138B3">
            <w:pPr>
              <w:pStyle w:val="Body-Table"/>
              <w:jc w:val="center"/>
            </w:pPr>
            <w:r w:rsidRPr="00CF0DF4">
              <w:t>40</w:t>
            </w:r>
          </w:p>
        </w:tc>
        <w:tc>
          <w:tcPr>
            <w:tcW w:w="720" w:type="dxa"/>
            <w:shd w:val="clear" w:color="auto" w:fill="EAEAEA"/>
            <w:noWrap/>
            <w:vAlign w:val="center"/>
            <w:hideMark/>
          </w:tcPr>
          <w:p w14:paraId="5DC63F21" w14:textId="77777777" w:rsidR="00B138B3" w:rsidRPr="00CF0DF4" w:rsidRDefault="00B138B3" w:rsidP="00B138B3">
            <w:pPr>
              <w:pStyle w:val="Body-Table"/>
              <w:jc w:val="center"/>
            </w:pPr>
            <w:r w:rsidRPr="00CF0DF4">
              <w:t>107</w:t>
            </w:r>
          </w:p>
        </w:tc>
        <w:tc>
          <w:tcPr>
            <w:tcW w:w="1008" w:type="dxa"/>
            <w:shd w:val="clear" w:color="auto" w:fill="EAEAEA"/>
            <w:noWrap/>
            <w:vAlign w:val="center"/>
            <w:hideMark/>
          </w:tcPr>
          <w:p w14:paraId="1970B80C" w14:textId="77777777" w:rsidR="00B138B3" w:rsidRPr="00CF0DF4" w:rsidRDefault="00B138B3" w:rsidP="00B138B3">
            <w:pPr>
              <w:pStyle w:val="Body-Table"/>
              <w:jc w:val="center"/>
            </w:pPr>
            <w:r w:rsidRPr="00CF0DF4">
              <w:t>Ramp</w:t>
            </w:r>
          </w:p>
        </w:tc>
        <w:tc>
          <w:tcPr>
            <w:tcW w:w="1008" w:type="dxa"/>
            <w:shd w:val="clear" w:color="auto" w:fill="EAEAEA"/>
            <w:noWrap/>
            <w:vAlign w:val="center"/>
            <w:hideMark/>
          </w:tcPr>
          <w:p w14:paraId="14515CC9" w14:textId="77777777" w:rsidR="00B138B3" w:rsidRPr="00CF0DF4" w:rsidRDefault="00B138B3" w:rsidP="00B138B3">
            <w:pPr>
              <w:pStyle w:val="Body-Table"/>
              <w:jc w:val="center"/>
            </w:pPr>
            <w:r w:rsidRPr="00CF0DF4">
              <w:t>Descent</w:t>
            </w:r>
          </w:p>
        </w:tc>
        <w:tc>
          <w:tcPr>
            <w:tcW w:w="576" w:type="dxa"/>
            <w:shd w:val="clear" w:color="auto" w:fill="EAEAEA"/>
            <w:noWrap/>
            <w:vAlign w:val="center"/>
            <w:hideMark/>
          </w:tcPr>
          <w:p w14:paraId="106135E2" w14:textId="77777777" w:rsidR="00B138B3" w:rsidRPr="00CF0DF4" w:rsidRDefault="00B138B3" w:rsidP="00B138B3">
            <w:pPr>
              <w:pStyle w:val="Body-Table"/>
              <w:jc w:val="center"/>
            </w:pPr>
            <w:r w:rsidRPr="00CF0DF4">
              <w:t>100</w:t>
            </w:r>
          </w:p>
        </w:tc>
      </w:tr>
      <w:tr w:rsidR="00B138B3" w:rsidRPr="00CF0DF4" w14:paraId="1C90227A" w14:textId="77777777" w:rsidTr="005B536D">
        <w:trPr>
          <w:trHeight w:val="20"/>
        </w:trPr>
        <w:tc>
          <w:tcPr>
            <w:tcW w:w="3024" w:type="dxa"/>
            <w:shd w:val="clear" w:color="auto" w:fill="EAEAEA"/>
            <w:noWrap/>
            <w:vAlign w:val="center"/>
            <w:hideMark/>
          </w:tcPr>
          <w:p w14:paraId="0F71D02A" w14:textId="77777777" w:rsidR="00B138B3" w:rsidRPr="00CF0DF4" w:rsidRDefault="00B138B3" w:rsidP="00B138B3">
            <w:pPr>
              <w:pStyle w:val="Body-Table"/>
            </w:pPr>
            <w:r w:rsidRPr="00CF0DF4">
              <w:t>OLYMPEX_Spi-Des_100RHb</w:t>
            </w:r>
          </w:p>
        </w:tc>
        <w:tc>
          <w:tcPr>
            <w:tcW w:w="1440" w:type="dxa"/>
            <w:shd w:val="clear" w:color="auto" w:fill="EAEAEA"/>
          </w:tcPr>
          <w:p w14:paraId="50536DAD" w14:textId="41584983" w:rsidR="00B138B3" w:rsidRPr="00CF0DF4" w:rsidRDefault="00B138B3" w:rsidP="00B138B3">
            <w:pPr>
              <w:pStyle w:val="Body-Table"/>
              <w:jc w:val="center"/>
            </w:pPr>
            <w:r w:rsidRPr="00CF0DF4">
              <w:t>20151123</w:t>
            </w:r>
          </w:p>
        </w:tc>
        <w:tc>
          <w:tcPr>
            <w:tcW w:w="720" w:type="dxa"/>
            <w:shd w:val="clear" w:color="auto" w:fill="EAEAEA"/>
            <w:noWrap/>
            <w:vAlign w:val="center"/>
            <w:hideMark/>
          </w:tcPr>
          <w:p w14:paraId="1C4BA4EA" w14:textId="57180A63" w:rsidR="00B138B3" w:rsidRPr="00CF0DF4" w:rsidRDefault="00B138B3" w:rsidP="00B138B3">
            <w:pPr>
              <w:pStyle w:val="Body-Table"/>
              <w:jc w:val="center"/>
            </w:pPr>
            <w:r w:rsidRPr="00CF0DF4">
              <w:t>79641</w:t>
            </w:r>
          </w:p>
        </w:tc>
        <w:tc>
          <w:tcPr>
            <w:tcW w:w="864" w:type="dxa"/>
            <w:shd w:val="clear" w:color="auto" w:fill="EAEAEA"/>
            <w:noWrap/>
            <w:vAlign w:val="center"/>
            <w:hideMark/>
          </w:tcPr>
          <w:p w14:paraId="1D026DB1" w14:textId="77777777" w:rsidR="00B138B3" w:rsidRPr="00CF0DF4" w:rsidRDefault="00B138B3" w:rsidP="00B138B3">
            <w:pPr>
              <w:pStyle w:val="Body-Table"/>
              <w:jc w:val="center"/>
            </w:pPr>
            <w:r w:rsidRPr="00CF0DF4">
              <w:t>21</w:t>
            </w:r>
          </w:p>
        </w:tc>
        <w:tc>
          <w:tcPr>
            <w:tcW w:w="720" w:type="dxa"/>
            <w:shd w:val="clear" w:color="auto" w:fill="EAEAEA"/>
            <w:noWrap/>
            <w:vAlign w:val="center"/>
            <w:hideMark/>
          </w:tcPr>
          <w:p w14:paraId="0136DA20" w14:textId="77777777" w:rsidR="00B138B3" w:rsidRPr="00CF0DF4" w:rsidRDefault="00B138B3" w:rsidP="00B138B3">
            <w:pPr>
              <w:pStyle w:val="Body-Table"/>
              <w:jc w:val="center"/>
            </w:pPr>
            <w:r w:rsidRPr="00CF0DF4">
              <w:t>120</w:t>
            </w:r>
          </w:p>
        </w:tc>
        <w:tc>
          <w:tcPr>
            <w:tcW w:w="1008" w:type="dxa"/>
            <w:shd w:val="clear" w:color="auto" w:fill="EAEAEA"/>
            <w:noWrap/>
            <w:vAlign w:val="center"/>
            <w:hideMark/>
          </w:tcPr>
          <w:p w14:paraId="305AA14B"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1FEA7F69" w14:textId="77777777" w:rsidR="00B138B3" w:rsidRPr="00CF0DF4" w:rsidRDefault="00B138B3" w:rsidP="00B138B3">
            <w:pPr>
              <w:pStyle w:val="Body-Table"/>
              <w:jc w:val="center"/>
            </w:pPr>
            <w:r w:rsidRPr="00CF0DF4">
              <w:t>Descent</w:t>
            </w:r>
          </w:p>
        </w:tc>
        <w:tc>
          <w:tcPr>
            <w:tcW w:w="576" w:type="dxa"/>
            <w:shd w:val="clear" w:color="auto" w:fill="EAEAEA"/>
            <w:noWrap/>
            <w:vAlign w:val="center"/>
            <w:hideMark/>
          </w:tcPr>
          <w:p w14:paraId="022690DD" w14:textId="77777777" w:rsidR="00B138B3" w:rsidRPr="00CF0DF4" w:rsidRDefault="00B138B3" w:rsidP="00B138B3">
            <w:pPr>
              <w:pStyle w:val="Body-Table"/>
              <w:jc w:val="center"/>
            </w:pPr>
            <w:r w:rsidRPr="00CF0DF4">
              <w:t>100</w:t>
            </w:r>
          </w:p>
        </w:tc>
      </w:tr>
      <w:tr w:rsidR="00B138B3" w:rsidRPr="00CF0DF4" w14:paraId="38195D1B" w14:textId="77777777" w:rsidTr="005B536D">
        <w:trPr>
          <w:trHeight w:val="20"/>
        </w:trPr>
        <w:tc>
          <w:tcPr>
            <w:tcW w:w="3024" w:type="dxa"/>
            <w:shd w:val="clear" w:color="auto" w:fill="EAEAEA"/>
            <w:noWrap/>
            <w:vAlign w:val="center"/>
            <w:hideMark/>
          </w:tcPr>
          <w:p w14:paraId="60875649" w14:textId="77777777" w:rsidR="00B138B3" w:rsidRPr="00CF0DF4" w:rsidRDefault="00B138B3" w:rsidP="00B138B3">
            <w:pPr>
              <w:pStyle w:val="Body-Table"/>
            </w:pPr>
            <w:r w:rsidRPr="00CF0DF4">
              <w:t>OLYMPEX_Spi-Des_100RHc</w:t>
            </w:r>
          </w:p>
        </w:tc>
        <w:tc>
          <w:tcPr>
            <w:tcW w:w="1440" w:type="dxa"/>
            <w:shd w:val="clear" w:color="auto" w:fill="EAEAEA"/>
          </w:tcPr>
          <w:p w14:paraId="4CBCEF25" w14:textId="7308EB72" w:rsidR="00B138B3" w:rsidRPr="00CF0DF4" w:rsidRDefault="00B138B3" w:rsidP="00B138B3">
            <w:pPr>
              <w:pStyle w:val="Body-Table"/>
              <w:jc w:val="center"/>
            </w:pPr>
            <w:r w:rsidRPr="00CF0DF4">
              <w:t>20151218</w:t>
            </w:r>
          </w:p>
        </w:tc>
        <w:tc>
          <w:tcPr>
            <w:tcW w:w="720" w:type="dxa"/>
            <w:shd w:val="clear" w:color="auto" w:fill="EAEAEA"/>
            <w:noWrap/>
            <w:vAlign w:val="center"/>
            <w:hideMark/>
          </w:tcPr>
          <w:p w14:paraId="43060AF2" w14:textId="5F65500D" w:rsidR="00B138B3" w:rsidRPr="00CF0DF4" w:rsidRDefault="00B138B3" w:rsidP="00B138B3">
            <w:pPr>
              <w:pStyle w:val="Body-Table"/>
              <w:jc w:val="center"/>
            </w:pPr>
            <w:r w:rsidRPr="00CF0DF4">
              <w:t>23006</w:t>
            </w:r>
          </w:p>
        </w:tc>
        <w:tc>
          <w:tcPr>
            <w:tcW w:w="864" w:type="dxa"/>
            <w:shd w:val="clear" w:color="auto" w:fill="EAEAEA"/>
            <w:noWrap/>
            <w:vAlign w:val="center"/>
            <w:hideMark/>
          </w:tcPr>
          <w:p w14:paraId="59DEAE98" w14:textId="77777777" w:rsidR="00B138B3" w:rsidRPr="00CF0DF4" w:rsidRDefault="00B138B3" w:rsidP="00B138B3">
            <w:pPr>
              <w:pStyle w:val="Body-Table"/>
              <w:jc w:val="center"/>
            </w:pPr>
            <w:r w:rsidRPr="00CF0DF4">
              <w:t>34</w:t>
            </w:r>
          </w:p>
        </w:tc>
        <w:tc>
          <w:tcPr>
            <w:tcW w:w="720" w:type="dxa"/>
            <w:shd w:val="clear" w:color="auto" w:fill="EAEAEA"/>
            <w:noWrap/>
            <w:vAlign w:val="center"/>
            <w:hideMark/>
          </w:tcPr>
          <w:p w14:paraId="4EDCDE66" w14:textId="77777777" w:rsidR="00B138B3" w:rsidRPr="00CF0DF4" w:rsidRDefault="00B138B3" w:rsidP="00B138B3">
            <w:pPr>
              <w:pStyle w:val="Body-Table"/>
              <w:jc w:val="center"/>
            </w:pPr>
            <w:r w:rsidRPr="00CF0DF4">
              <w:t>194</w:t>
            </w:r>
          </w:p>
        </w:tc>
        <w:tc>
          <w:tcPr>
            <w:tcW w:w="1008" w:type="dxa"/>
            <w:shd w:val="clear" w:color="auto" w:fill="EAEAEA"/>
            <w:noWrap/>
            <w:vAlign w:val="center"/>
            <w:hideMark/>
          </w:tcPr>
          <w:p w14:paraId="0A4CDF73"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422503F0" w14:textId="77777777" w:rsidR="00B138B3" w:rsidRPr="00CF0DF4" w:rsidRDefault="00B138B3" w:rsidP="00B138B3">
            <w:pPr>
              <w:pStyle w:val="Body-Table"/>
              <w:jc w:val="center"/>
            </w:pPr>
            <w:r w:rsidRPr="00CF0DF4">
              <w:t>Descent</w:t>
            </w:r>
          </w:p>
        </w:tc>
        <w:tc>
          <w:tcPr>
            <w:tcW w:w="576" w:type="dxa"/>
            <w:shd w:val="clear" w:color="auto" w:fill="EAEAEA"/>
            <w:noWrap/>
            <w:vAlign w:val="center"/>
            <w:hideMark/>
          </w:tcPr>
          <w:p w14:paraId="2114DAC4" w14:textId="77777777" w:rsidR="00B138B3" w:rsidRPr="00CF0DF4" w:rsidRDefault="00B138B3" w:rsidP="00B138B3">
            <w:pPr>
              <w:pStyle w:val="Body-Table"/>
              <w:jc w:val="center"/>
            </w:pPr>
            <w:r w:rsidRPr="00CF0DF4">
              <w:t>100</w:t>
            </w:r>
          </w:p>
        </w:tc>
      </w:tr>
      <w:tr w:rsidR="00B138B3" w:rsidRPr="00CF0DF4" w14:paraId="00AC67F3" w14:textId="77777777" w:rsidTr="005B536D">
        <w:trPr>
          <w:trHeight w:val="20"/>
        </w:trPr>
        <w:tc>
          <w:tcPr>
            <w:tcW w:w="3024" w:type="dxa"/>
            <w:shd w:val="clear" w:color="auto" w:fill="EAEAEA"/>
            <w:noWrap/>
            <w:vAlign w:val="center"/>
            <w:hideMark/>
          </w:tcPr>
          <w:p w14:paraId="4015AEB9" w14:textId="77777777" w:rsidR="00B138B3" w:rsidRPr="00CF0DF4" w:rsidRDefault="00B138B3" w:rsidP="00B138B3">
            <w:pPr>
              <w:pStyle w:val="Body-Table"/>
            </w:pPr>
            <w:r w:rsidRPr="00CF0DF4">
              <w:t>GCPEX_Spi-Asc_100RH</w:t>
            </w:r>
          </w:p>
        </w:tc>
        <w:tc>
          <w:tcPr>
            <w:tcW w:w="1440" w:type="dxa"/>
            <w:shd w:val="clear" w:color="auto" w:fill="EAEAEA"/>
          </w:tcPr>
          <w:p w14:paraId="0912F3C6" w14:textId="383D71D8" w:rsidR="00B138B3" w:rsidRPr="00CF0DF4" w:rsidRDefault="00B138B3" w:rsidP="00B138B3">
            <w:pPr>
              <w:pStyle w:val="Body-Table"/>
              <w:jc w:val="center"/>
            </w:pPr>
            <w:r w:rsidRPr="00CF0DF4">
              <w:t>20120127</w:t>
            </w:r>
          </w:p>
        </w:tc>
        <w:tc>
          <w:tcPr>
            <w:tcW w:w="720" w:type="dxa"/>
            <w:shd w:val="clear" w:color="auto" w:fill="EAEAEA"/>
            <w:noWrap/>
            <w:vAlign w:val="center"/>
            <w:hideMark/>
          </w:tcPr>
          <w:p w14:paraId="1ADCC7DA" w14:textId="1ECBBCB3" w:rsidR="00B138B3" w:rsidRPr="00CF0DF4" w:rsidRDefault="00B138B3" w:rsidP="00B138B3">
            <w:pPr>
              <w:pStyle w:val="Body-Table"/>
              <w:jc w:val="center"/>
            </w:pPr>
            <w:r w:rsidRPr="00CF0DF4">
              <w:t>17666</w:t>
            </w:r>
          </w:p>
        </w:tc>
        <w:tc>
          <w:tcPr>
            <w:tcW w:w="864" w:type="dxa"/>
            <w:shd w:val="clear" w:color="auto" w:fill="EAEAEA"/>
            <w:noWrap/>
            <w:vAlign w:val="center"/>
            <w:hideMark/>
          </w:tcPr>
          <w:p w14:paraId="22EBA51A" w14:textId="77777777" w:rsidR="00B138B3" w:rsidRPr="00CF0DF4" w:rsidRDefault="00B138B3" w:rsidP="00B138B3">
            <w:pPr>
              <w:pStyle w:val="Body-Table"/>
              <w:jc w:val="center"/>
            </w:pPr>
            <w:r w:rsidRPr="00CF0DF4">
              <w:t>170</w:t>
            </w:r>
          </w:p>
        </w:tc>
        <w:tc>
          <w:tcPr>
            <w:tcW w:w="720" w:type="dxa"/>
            <w:shd w:val="clear" w:color="auto" w:fill="EAEAEA"/>
            <w:noWrap/>
            <w:vAlign w:val="center"/>
            <w:hideMark/>
          </w:tcPr>
          <w:p w14:paraId="4529A50C" w14:textId="77777777" w:rsidR="00B138B3" w:rsidRPr="00CF0DF4" w:rsidRDefault="00B138B3" w:rsidP="00B138B3">
            <w:pPr>
              <w:pStyle w:val="Body-Table"/>
              <w:jc w:val="center"/>
            </w:pPr>
            <w:r w:rsidRPr="00CF0DF4">
              <w:t>563</w:t>
            </w:r>
          </w:p>
        </w:tc>
        <w:tc>
          <w:tcPr>
            <w:tcW w:w="1008" w:type="dxa"/>
            <w:shd w:val="clear" w:color="auto" w:fill="EAEAEA"/>
            <w:noWrap/>
            <w:vAlign w:val="center"/>
            <w:hideMark/>
          </w:tcPr>
          <w:p w14:paraId="69AD8597"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40EACF97" w14:textId="77777777" w:rsidR="00B138B3" w:rsidRPr="00CF0DF4" w:rsidRDefault="00B138B3" w:rsidP="00B138B3">
            <w:pPr>
              <w:pStyle w:val="Body-Table"/>
              <w:jc w:val="center"/>
            </w:pPr>
            <w:r w:rsidRPr="00CF0DF4">
              <w:t>Ascent</w:t>
            </w:r>
          </w:p>
        </w:tc>
        <w:tc>
          <w:tcPr>
            <w:tcW w:w="576" w:type="dxa"/>
            <w:shd w:val="clear" w:color="auto" w:fill="EAEAEA"/>
            <w:noWrap/>
            <w:vAlign w:val="center"/>
            <w:hideMark/>
          </w:tcPr>
          <w:p w14:paraId="0B2AB69D" w14:textId="77777777" w:rsidR="00B138B3" w:rsidRPr="00CF0DF4" w:rsidRDefault="00B138B3" w:rsidP="00B138B3">
            <w:pPr>
              <w:pStyle w:val="Body-Table"/>
              <w:jc w:val="center"/>
            </w:pPr>
            <w:r w:rsidRPr="00CF0DF4">
              <w:t>100</w:t>
            </w:r>
          </w:p>
        </w:tc>
      </w:tr>
      <w:tr w:rsidR="00B138B3" w:rsidRPr="00CF0DF4" w14:paraId="5EF44688" w14:textId="77777777" w:rsidTr="005B536D">
        <w:trPr>
          <w:trHeight w:val="20"/>
        </w:trPr>
        <w:tc>
          <w:tcPr>
            <w:tcW w:w="3024" w:type="dxa"/>
            <w:shd w:val="clear" w:color="auto" w:fill="EAEAEA"/>
            <w:noWrap/>
            <w:vAlign w:val="center"/>
            <w:hideMark/>
          </w:tcPr>
          <w:p w14:paraId="711C909E" w14:textId="77777777" w:rsidR="00B138B3" w:rsidRPr="00CF0DF4" w:rsidRDefault="00B138B3" w:rsidP="00B138B3">
            <w:pPr>
              <w:pStyle w:val="Body-Table"/>
            </w:pPr>
            <w:r w:rsidRPr="00CF0DF4">
              <w:t>IPHEX_Spi-Asc_100RH</w:t>
            </w:r>
          </w:p>
        </w:tc>
        <w:tc>
          <w:tcPr>
            <w:tcW w:w="1440" w:type="dxa"/>
            <w:shd w:val="clear" w:color="auto" w:fill="EAEAEA"/>
          </w:tcPr>
          <w:p w14:paraId="42F998D9" w14:textId="28454802" w:rsidR="00B138B3" w:rsidRPr="00CF0DF4" w:rsidRDefault="00B138B3" w:rsidP="00B138B3">
            <w:pPr>
              <w:pStyle w:val="Body-Table"/>
              <w:jc w:val="center"/>
            </w:pPr>
            <w:r w:rsidRPr="00CF0DF4">
              <w:t>20140509</w:t>
            </w:r>
          </w:p>
        </w:tc>
        <w:tc>
          <w:tcPr>
            <w:tcW w:w="720" w:type="dxa"/>
            <w:shd w:val="clear" w:color="auto" w:fill="EAEAEA"/>
            <w:noWrap/>
            <w:vAlign w:val="center"/>
            <w:hideMark/>
          </w:tcPr>
          <w:p w14:paraId="6FE4F834" w14:textId="7CAE3A25" w:rsidR="00B138B3" w:rsidRPr="00CF0DF4" w:rsidRDefault="00B138B3" w:rsidP="00B138B3">
            <w:pPr>
              <w:pStyle w:val="Body-Table"/>
              <w:jc w:val="center"/>
            </w:pPr>
            <w:r w:rsidRPr="00CF0DF4">
              <w:t>68961</w:t>
            </w:r>
          </w:p>
        </w:tc>
        <w:tc>
          <w:tcPr>
            <w:tcW w:w="864" w:type="dxa"/>
            <w:shd w:val="clear" w:color="auto" w:fill="EAEAEA"/>
            <w:noWrap/>
            <w:vAlign w:val="center"/>
            <w:hideMark/>
          </w:tcPr>
          <w:p w14:paraId="3E12E38B" w14:textId="77777777" w:rsidR="00B138B3" w:rsidRPr="00CF0DF4" w:rsidRDefault="00B138B3" w:rsidP="00B138B3">
            <w:pPr>
              <w:pStyle w:val="Body-Table"/>
              <w:jc w:val="center"/>
            </w:pPr>
            <w:r w:rsidRPr="00CF0DF4">
              <w:t>80</w:t>
            </w:r>
          </w:p>
        </w:tc>
        <w:tc>
          <w:tcPr>
            <w:tcW w:w="720" w:type="dxa"/>
            <w:shd w:val="clear" w:color="auto" w:fill="EAEAEA"/>
            <w:noWrap/>
            <w:vAlign w:val="center"/>
            <w:hideMark/>
          </w:tcPr>
          <w:p w14:paraId="75B020B0" w14:textId="77777777" w:rsidR="00B138B3" w:rsidRPr="00CF0DF4" w:rsidRDefault="00B138B3" w:rsidP="00B138B3">
            <w:pPr>
              <w:pStyle w:val="Body-Table"/>
              <w:jc w:val="center"/>
            </w:pPr>
            <w:r w:rsidRPr="00CF0DF4">
              <w:t>336</w:t>
            </w:r>
          </w:p>
        </w:tc>
        <w:tc>
          <w:tcPr>
            <w:tcW w:w="1008" w:type="dxa"/>
            <w:shd w:val="clear" w:color="auto" w:fill="EAEAEA"/>
            <w:noWrap/>
            <w:vAlign w:val="center"/>
            <w:hideMark/>
          </w:tcPr>
          <w:p w14:paraId="00E2EDF0"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1CCEB62E" w14:textId="77777777" w:rsidR="00B138B3" w:rsidRPr="00CF0DF4" w:rsidRDefault="00B138B3" w:rsidP="00B138B3">
            <w:pPr>
              <w:pStyle w:val="Body-Table"/>
              <w:jc w:val="center"/>
            </w:pPr>
            <w:r w:rsidRPr="00CF0DF4">
              <w:t>Ascent</w:t>
            </w:r>
          </w:p>
        </w:tc>
        <w:tc>
          <w:tcPr>
            <w:tcW w:w="576" w:type="dxa"/>
            <w:shd w:val="clear" w:color="auto" w:fill="EAEAEA"/>
            <w:noWrap/>
            <w:vAlign w:val="center"/>
            <w:hideMark/>
          </w:tcPr>
          <w:p w14:paraId="412FB9B6" w14:textId="77777777" w:rsidR="00B138B3" w:rsidRPr="00CF0DF4" w:rsidRDefault="00B138B3" w:rsidP="00B138B3">
            <w:pPr>
              <w:pStyle w:val="Body-Table"/>
              <w:jc w:val="center"/>
            </w:pPr>
            <w:r w:rsidRPr="00CF0DF4">
              <w:t>100</w:t>
            </w:r>
          </w:p>
        </w:tc>
      </w:tr>
      <w:tr w:rsidR="00B138B3" w:rsidRPr="00CF0DF4" w14:paraId="153CF50A" w14:textId="77777777" w:rsidTr="005B536D">
        <w:trPr>
          <w:trHeight w:val="20"/>
        </w:trPr>
        <w:tc>
          <w:tcPr>
            <w:tcW w:w="3024" w:type="dxa"/>
            <w:shd w:val="clear" w:color="auto" w:fill="DDDDDD"/>
            <w:noWrap/>
            <w:vAlign w:val="center"/>
            <w:hideMark/>
          </w:tcPr>
          <w:p w14:paraId="5C42B59B" w14:textId="77777777" w:rsidR="00B138B3" w:rsidRPr="00CF0DF4" w:rsidRDefault="00B138B3" w:rsidP="00B138B3">
            <w:pPr>
              <w:pStyle w:val="Body-Table"/>
            </w:pPr>
            <w:r w:rsidRPr="00CF0DF4">
              <w:t>GCPEX_Spi-Asc_99RH</w:t>
            </w:r>
          </w:p>
        </w:tc>
        <w:tc>
          <w:tcPr>
            <w:tcW w:w="1440" w:type="dxa"/>
            <w:shd w:val="clear" w:color="auto" w:fill="DDDDDD"/>
          </w:tcPr>
          <w:p w14:paraId="16C79DD0" w14:textId="04E834B8" w:rsidR="00B138B3" w:rsidRPr="00CF0DF4" w:rsidRDefault="00B138B3" w:rsidP="00B138B3">
            <w:pPr>
              <w:pStyle w:val="Body-Table"/>
              <w:jc w:val="center"/>
            </w:pPr>
            <w:r w:rsidRPr="00CF0DF4">
              <w:t>20120127</w:t>
            </w:r>
          </w:p>
        </w:tc>
        <w:tc>
          <w:tcPr>
            <w:tcW w:w="720" w:type="dxa"/>
            <w:shd w:val="clear" w:color="auto" w:fill="DDDDDD"/>
            <w:noWrap/>
            <w:vAlign w:val="center"/>
            <w:hideMark/>
          </w:tcPr>
          <w:p w14:paraId="063DF239" w14:textId="6E6794E2" w:rsidR="00B138B3" w:rsidRPr="00CF0DF4" w:rsidRDefault="00B138B3" w:rsidP="00B138B3">
            <w:pPr>
              <w:pStyle w:val="Body-Table"/>
              <w:jc w:val="center"/>
            </w:pPr>
            <w:r w:rsidRPr="00CF0DF4">
              <w:t>16904</w:t>
            </w:r>
          </w:p>
        </w:tc>
        <w:tc>
          <w:tcPr>
            <w:tcW w:w="864" w:type="dxa"/>
            <w:shd w:val="clear" w:color="auto" w:fill="DDDDDD"/>
            <w:noWrap/>
            <w:vAlign w:val="center"/>
            <w:hideMark/>
          </w:tcPr>
          <w:p w14:paraId="1182324D" w14:textId="77777777" w:rsidR="00B138B3" w:rsidRPr="00CF0DF4" w:rsidRDefault="00B138B3" w:rsidP="00B138B3">
            <w:pPr>
              <w:pStyle w:val="Body-Table"/>
              <w:jc w:val="center"/>
            </w:pPr>
            <w:r w:rsidRPr="00CF0DF4">
              <w:t>75</w:t>
            </w:r>
          </w:p>
        </w:tc>
        <w:tc>
          <w:tcPr>
            <w:tcW w:w="720" w:type="dxa"/>
            <w:shd w:val="clear" w:color="auto" w:fill="DDDDDD"/>
            <w:noWrap/>
            <w:vAlign w:val="center"/>
            <w:hideMark/>
          </w:tcPr>
          <w:p w14:paraId="4AD07349" w14:textId="77777777" w:rsidR="00B138B3" w:rsidRPr="00CF0DF4" w:rsidRDefault="00B138B3" w:rsidP="00B138B3">
            <w:pPr>
              <w:pStyle w:val="Body-Table"/>
              <w:jc w:val="center"/>
            </w:pPr>
            <w:r w:rsidRPr="00CF0DF4">
              <w:t>395</w:t>
            </w:r>
          </w:p>
        </w:tc>
        <w:tc>
          <w:tcPr>
            <w:tcW w:w="1008" w:type="dxa"/>
            <w:shd w:val="clear" w:color="auto" w:fill="DDDDDD"/>
            <w:noWrap/>
            <w:vAlign w:val="center"/>
            <w:hideMark/>
          </w:tcPr>
          <w:p w14:paraId="39E3A404" w14:textId="77777777" w:rsidR="00B138B3" w:rsidRPr="00CF0DF4" w:rsidRDefault="00B138B3" w:rsidP="00B138B3">
            <w:pPr>
              <w:pStyle w:val="Body-Table"/>
              <w:jc w:val="center"/>
            </w:pPr>
            <w:r w:rsidRPr="00CF0DF4">
              <w:t xml:space="preserve">Spiral </w:t>
            </w:r>
          </w:p>
        </w:tc>
        <w:tc>
          <w:tcPr>
            <w:tcW w:w="1008" w:type="dxa"/>
            <w:shd w:val="clear" w:color="auto" w:fill="DDDDDD"/>
            <w:noWrap/>
            <w:vAlign w:val="center"/>
            <w:hideMark/>
          </w:tcPr>
          <w:p w14:paraId="6D1807E4"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4DF398E2" w14:textId="77777777" w:rsidR="00B138B3" w:rsidRPr="00CF0DF4" w:rsidRDefault="00B138B3" w:rsidP="00B138B3">
            <w:pPr>
              <w:pStyle w:val="Body-Table"/>
              <w:jc w:val="center"/>
            </w:pPr>
            <w:r w:rsidRPr="00CF0DF4">
              <w:t>99</w:t>
            </w:r>
          </w:p>
        </w:tc>
      </w:tr>
      <w:tr w:rsidR="00B138B3" w:rsidRPr="00CF0DF4" w14:paraId="46470D3E" w14:textId="77777777" w:rsidTr="005B536D">
        <w:trPr>
          <w:trHeight w:val="20"/>
        </w:trPr>
        <w:tc>
          <w:tcPr>
            <w:tcW w:w="3024" w:type="dxa"/>
            <w:shd w:val="clear" w:color="auto" w:fill="DDDDDD"/>
            <w:noWrap/>
            <w:vAlign w:val="center"/>
            <w:hideMark/>
          </w:tcPr>
          <w:p w14:paraId="5E91396D" w14:textId="77777777" w:rsidR="00B138B3" w:rsidRPr="00CF0DF4" w:rsidRDefault="00B138B3" w:rsidP="00B138B3">
            <w:pPr>
              <w:pStyle w:val="Body-Table"/>
            </w:pPr>
            <w:r w:rsidRPr="00CF0DF4">
              <w:t>OLYMPEX_Spi-Asc_99RHa</w:t>
            </w:r>
          </w:p>
        </w:tc>
        <w:tc>
          <w:tcPr>
            <w:tcW w:w="1440" w:type="dxa"/>
            <w:shd w:val="clear" w:color="auto" w:fill="DDDDDD"/>
          </w:tcPr>
          <w:p w14:paraId="41F71F72" w14:textId="5B3B2EF7" w:rsidR="00B138B3" w:rsidRPr="00CF0DF4" w:rsidRDefault="00B138B3" w:rsidP="00B138B3">
            <w:pPr>
              <w:pStyle w:val="Body-Table"/>
              <w:jc w:val="center"/>
            </w:pPr>
            <w:r w:rsidRPr="00CF0DF4">
              <w:t>20151123</w:t>
            </w:r>
          </w:p>
        </w:tc>
        <w:tc>
          <w:tcPr>
            <w:tcW w:w="720" w:type="dxa"/>
            <w:shd w:val="clear" w:color="auto" w:fill="DDDDDD"/>
            <w:noWrap/>
            <w:vAlign w:val="center"/>
            <w:hideMark/>
          </w:tcPr>
          <w:p w14:paraId="0454FEAA" w14:textId="558DF4D9" w:rsidR="00B138B3" w:rsidRPr="00CF0DF4" w:rsidRDefault="00B138B3" w:rsidP="00B138B3">
            <w:pPr>
              <w:pStyle w:val="Body-Table"/>
              <w:jc w:val="center"/>
            </w:pPr>
            <w:r w:rsidRPr="00CF0DF4">
              <w:t>80111</w:t>
            </w:r>
          </w:p>
        </w:tc>
        <w:tc>
          <w:tcPr>
            <w:tcW w:w="864" w:type="dxa"/>
            <w:shd w:val="clear" w:color="auto" w:fill="DDDDDD"/>
            <w:noWrap/>
            <w:vAlign w:val="center"/>
            <w:hideMark/>
          </w:tcPr>
          <w:p w14:paraId="4BBA8118" w14:textId="77777777" w:rsidR="00B138B3" w:rsidRPr="00CF0DF4" w:rsidRDefault="00B138B3" w:rsidP="00B138B3">
            <w:pPr>
              <w:pStyle w:val="Body-Table"/>
              <w:jc w:val="center"/>
            </w:pPr>
            <w:r w:rsidRPr="00CF0DF4">
              <w:t>39</w:t>
            </w:r>
          </w:p>
        </w:tc>
        <w:tc>
          <w:tcPr>
            <w:tcW w:w="720" w:type="dxa"/>
            <w:shd w:val="clear" w:color="auto" w:fill="DDDDDD"/>
            <w:noWrap/>
            <w:vAlign w:val="center"/>
            <w:hideMark/>
          </w:tcPr>
          <w:p w14:paraId="4CF75E8B" w14:textId="77777777" w:rsidR="00B138B3" w:rsidRPr="00CF0DF4" w:rsidRDefault="00B138B3" w:rsidP="00B138B3">
            <w:pPr>
              <w:pStyle w:val="Body-Table"/>
              <w:jc w:val="center"/>
            </w:pPr>
            <w:r w:rsidRPr="00CF0DF4">
              <w:t>117</w:t>
            </w:r>
          </w:p>
        </w:tc>
        <w:tc>
          <w:tcPr>
            <w:tcW w:w="1008" w:type="dxa"/>
            <w:shd w:val="clear" w:color="auto" w:fill="DDDDDD"/>
            <w:noWrap/>
            <w:vAlign w:val="center"/>
            <w:hideMark/>
          </w:tcPr>
          <w:p w14:paraId="48F2D8C1"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27725149"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67A529F2" w14:textId="77777777" w:rsidR="00B138B3" w:rsidRPr="00CF0DF4" w:rsidRDefault="00B138B3" w:rsidP="00B138B3">
            <w:pPr>
              <w:pStyle w:val="Body-Table"/>
              <w:jc w:val="center"/>
            </w:pPr>
            <w:r w:rsidRPr="00CF0DF4">
              <w:t>99</w:t>
            </w:r>
          </w:p>
        </w:tc>
      </w:tr>
      <w:tr w:rsidR="00B138B3" w:rsidRPr="00CF0DF4" w14:paraId="355F1FC9" w14:textId="77777777" w:rsidTr="005B536D">
        <w:trPr>
          <w:trHeight w:val="20"/>
        </w:trPr>
        <w:tc>
          <w:tcPr>
            <w:tcW w:w="3024" w:type="dxa"/>
            <w:shd w:val="clear" w:color="auto" w:fill="DDDDDD"/>
            <w:noWrap/>
            <w:vAlign w:val="center"/>
            <w:hideMark/>
          </w:tcPr>
          <w:p w14:paraId="2ED3E5AE" w14:textId="77777777" w:rsidR="00B138B3" w:rsidRPr="00CF0DF4" w:rsidRDefault="00B138B3" w:rsidP="00B138B3">
            <w:pPr>
              <w:pStyle w:val="Body-Table"/>
            </w:pPr>
            <w:r w:rsidRPr="00CF0DF4">
              <w:t>OLYMPEX_Ram-Des_99RH</w:t>
            </w:r>
          </w:p>
        </w:tc>
        <w:tc>
          <w:tcPr>
            <w:tcW w:w="1440" w:type="dxa"/>
            <w:shd w:val="clear" w:color="auto" w:fill="DDDDDD"/>
          </w:tcPr>
          <w:p w14:paraId="19D3BED1" w14:textId="08859572" w:rsidR="00B138B3" w:rsidRPr="00CF0DF4" w:rsidRDefault="00B138B3" w:rsidP="00B138B3">
            <w:pPr>
              <w:pStyle w:val="Body-Table"/>
              <w:jc w:val="center"/>
            </w:pPr>
            <w:r w:rsidRPr="00CF0DF4">
              <w:t>20151201</w:t>
            </w:r>
          </w:p>
        </w:tc>
        <w:tc>
          <w:tcPr>
            <w:tcW w:w="720" w:type="dxa"/>
            <w:shd w:val="clear" w:color="auto" w:fill="DDDDDD"/>
            <w:noWrap/>
            <w:vAlign w:val="center"/>
            <w:hideMark/>
          </w:tcPr>
          <w:p w14:paraId="121F1C1B" w14:textId="5052F6D2" w:rsidR="00B138B3" w:rsidRPr="00CF0DF4" w:rsidRDefault="00B138B3" w:rsidP="00B138B3">
            <w:pPr>
              <w:pStyle w:val="Body-Table"/>
              <w:jc w:val="center"/>
            </w:pPr>
            <w:r w:rsidRPr="00CF0DF4">
              <w:t>84256</w:t>
            </w:r>
          </w:p>
        </w:tc>
        <w:tc>
          <w:tcPr>
            <w:tcW w:w="864" w:type="dxa"/>
            <w:shd w:val="clear" w:color="auto" w:fill="DDDDDD"/>
            <w:noWrap/>
            <w:vAlign w:val="center"/>
            <w:hideMark/>
          </w:tcPr>
          <w:p w14:paraId="4E85EDC2" w14:textId="77777777" w:rsidR="00B138B3" w:rsidRPr="00CF0DF4" w:rsidRDefault="00B138B3" w:rsidP="00B138B3">
            <w:pPr>
              <w:pStyle w:val="Body-Table"/>
              <w:jc w:val="center"/>
            </w:pPr>
            <w:r w:rsidRPr="00CF0DF4">
              <w:t>45</w:t>
            </w:r>
          </w:p>
        </w:tc>
        <w:tc>
          <w:tcPr>
            <w:tcW w:w="720" w:type="dxa"/>
            <w:shd w:val="clear" w:color="auto" w:fill="DDDDDD"/>
            <w:noWrap/>
            <w:vAlign w:val="center"/>
            <w:hideMark/>
          </w:tcPr>
          <w:p w14:paraId="02FEFCED" w14:textId="77777777" w:rsidR="00B138B3" w:rsidRPr="00CF0DF4" w:rsidRDefault="00B138B3" w:rsidP="00B138B3">
            <w:pPr>
              <w:pStyle w:val="Body-Table"/>
              <w:jc w:val="center"/>
            </w:pPr>
            <w:r w:rsidRPr="00CF0DF4">
              <w:t>181</w:t>
            </w:r>
          </w:p>
        </w:tc>
        <w:tc>
          <w:tcPr>
            <w:tcW w:w="1008" w:type="dxa"/>
            <w:shd w:val="clear" w:color="auto" w:fill="DDDDDD"/>
            <w:noWrap/>
            <w:vAlign w:val="center"/>
            <w:hideMark/>
          </w:tcPr>
          <w:p w14:paraId="0B39D496"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449D32B8"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5DAF9E77" w14:textId="77777777" w:rsidR="00B138B3" w:rsidRPr="00CF0DF4" w:rsidRDefault="00B138B3" w:rsidP="00B138B3">
            <w:pPr>
              <w:pStyle w:val="Body-Table"/>
              <w:jc w:val="center"/>
            </w:pPr>
            <w:r w:rsidRPr="00CF0DF4">
              <w:t>99</w:t>
            </w:r>
          </w:p>
        </w:tc>
      </w:tr>
      <w:tr w:rsidR="00B138B3" w:rsidRPr="00CF0DF4" w14:paraId="55C491D5" w14:textId="77777777" w:rsidTr="005B536D">
        <w:trPr>
          <w:trHeight w:val="20"/>
        </w:trPr>
        <w:tc>
          <w:tcPr>
            <w:tcW w:w="3024" w:type="dxa"/>
            <w:shd w:val="clear" w:color="auto" w:fill="DDDDDD"/>
            <w:noWrap/>
            <w:vAlign w:val="center"/>
            <w:hideMark/>
          </w:tcPr>
          <w:p w14:paraId="1D5332B8" w14:textId="77777777" w:rsidR="00B138B3" w:rsidRPr="00CF0DF4" w:rsidRDefault="00B138B3" w:rsidP="00B138B3">
            <w:pPr>
              <w:pStyle w:val="Body-Table"/>
            </w:pPr>
            <w:r w:rsidRPr="00CF0DF4">
              <w:t>OLYMPEX_Spi-Asc_99RHb</w:t>
            </w:r>
          </w:p>
        </w:tc>
        <w:tc>
          <w:tcPr>
            <w:tcW w:w="1440" w:type="dxa"/>
            <w:shd w:val="clear" w:color="auto" w:fill="DDDDDD"/>
          </w:tcPr>
          <w:p w14:paraId="21CC24D6" w14:textId="07C2F67B" w:rsidR="00B138B3" w:rsidRPr="00CF0DF4" w:rsidRDefault="00B138B3" w:rsidP="00B138B3">
            <w:pPr>
              <w:pStyle w:val="Body-Table"/>
              <w:jc w:val="center"/>
            </w:pPr>
            <w:r w:rsidRPr="00CF0DF4">
              <w:t>20151201</w:t>
            </w:r>
          </w:p>
        </w:tc>
        <w:tc>
          <w:tcPr>
            <w:tcW w:w="720" w:type="dxa"/>
            <w:shd w:val="clear" w:color="auto" w:fill="DDDDDD"/>
            <w:noWrap/>
            <w:vAlign w:val="center"/>
            <w:hideMark/>
          </w:tcPr>
          <w:p w14:paraId="1BCD8860" w14:textId="7689DC0F" w:rsidR="00B138B3" w:rsidRPr="00CF0DF4" w:rsidRDefault="00B138B3" w:rsidP="00B138B3">
            <w:pPr>
              <w:pStyle w:val="Body-Table"/>
              <w:jc w:val="center"/>
            </w:pPr>
            <w:r w:rsidRPr="00CF0DF4">
              <w:t>85421</w:t>
            </w:r>
          </w:p>
        </w:tc>
        <w:tc>
          <w:tcPr>
            <w:tcW w:w="864" w:type="dxa"/>
            <w:shd w:val="clear" w:color="auto" w:fill="DDDDDD"/>
            <w:noWrap/>
            <w:vAlign w:val="center"/>
            <w:hideMark/>
          </w:tcPr>
          <w:p w14:paraId="36F581F3" w14:textId="77777777" w:rsidR="00B138B3" w:rsidRPr="00CF0DF4" w:rsidRDefault="00B138B3" w:rsidP="00B138B3">
            <w:pPr>
              <w:pStyle w:val="Body-Table"/>
              <w:jc w:val="center"/>
            </w:pPr>
            <w:r w:rsidRPr="00CF0DF4">
              <w:t>41</w:t>
            </w:r>
          </w:p>
        </w:tc>
        <w:tc>
          <w:tcPr>
            <w:tcW w:w="720" w:type="dxa"/>
            <w:shd w:val="clear" w:color="auto" w:fill="DDDDDD"/>
            <w:noWrap/>
            <w:vAlign w:val="center"/>
            <w:hideMark/>
          </w:tcPr>
          <w:p w14:paraId="03870E2A" w14:textId="77777777" w:rsidR="00B138B3" w:rsidRPr="00CF0DF4" w:rsidRDefault="00B138B3" w:rsidP="00B138B3">
            <w:pPr>
              <w:pStyle w:val="Body-Table"/>
              <w:jc w:val="center"/>
            </w:pPr>
            <w:r w:rsidRPr="00CF0DF4">
              <w:t>284</w:t>
            </w:r>
          </w:p>
        </w:tc>
        <w:tc>
          <w:tcPr>
            <w:tcW w:w="1008" w:type="dxa"/>
            <w:shd w:val="clear" w:color="auto" w:fill="DDDDDD"/>
            <w:noWrap/>
            <w:vAlign w:val="center"/>
            <w:hideMark/>
          </w:tcPr>
          <w:p w14:paraId="6F370E4A"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2E2C0D18"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6AFF0DE2" w14:textId="77777777" w:rsidR="00B138B3" w:rsidRPr="00CF0DF4" w:rsidRDefault="00B138B3" w:rsidP="00B138B3">
            <w:pPr>
              <w:pStyle w:val="Body-Table"/>
              <w:jc w:val="center"/>
            </w:pPr>
            <w:r w:rsidRPr="00CF0DF4">
              <w:t>99</w:t>
            </w:r>
          </w:p>
        </w:tc>
      </w:tr>
      <w:tr w:rsidR="00B138B3" w:rsidRPr="00CF0DF4" w14:paraId="7EE414E5" w14:textId="77777777" w:rsidTr="005B536D">
        <w:trPr>
          <w:trHeight w:val="20"/>
        </w:trPr>
        <w:tc>
          <w:tcPr>
            <w:tcW w:w="3024" w:type="dxa"/>
            <w:shd w:val="clear" w:color="auto" w:fill="DDDDDD"/>
            <w:noWrap/>
            <w:vAlign w:val="center"/>
            <w:hideMark/>
          </w:tcPr>
          <w:p w14:paraId="711B8699" w14:textId="77777777" w:rsidR="00B138B3" w:rsidRPr="00CF0DF4" w:rsidRDefault="00B138B3" w:rsidP="00B138B3">
            <w:pPr>
              <w:pStyle w:val="Body-Table"/>
            </w:pPr>
            <w:r w:rsidRPr="00CF0DF4">
              <w:t>MC3E_Spi-Asc_99RH</w:t>
            </w:r>
          </w:p>
        </w:tc>
        <w:tc>
          <w:tcPr>
            <w:tcW w:w="1440" w:type="dxa"/>
            <w:shd w:val="clear" w:color="auto" w:fill="DDDDDD"/>
          </w:tcPr>
          <w:p w14:paraId="72C79475" w14:textId="5D768BC6" w:rsidR="00B138B3" w:rsidRPr="00CF0DF4" w:rsidRDefault="00B138B3" w:rsidP="00B138B3">
            <w:pPr>
              <w:pStyle w:val="Body-Table"/>
              <w:jc w:val="center"/>
            </w:pPr>
            <w:r w:rsidRPr="00CF0DF4">
              <w:t>20110427</w:t>
            </w:r>
          </w:p>
        </w:tc>
        <w:tc>
          <w:tcPr>
            <w:tcW w:w="720" w:type="dxa"/>
            <w:shd w:val="clear" w:color="auto" w:fill="DDDDDD"/>
            <w:noWrap/>
            <w:vAlign w:val="center"/>
            <w:hideMark/>
          </w:tcPr>
          <w:p w14:paraId="48077CD7" w14:textId="23C90B6A" w:rsidR="00B138B3" w:rsidRPr="00CF0DF4" w:rsidRDefault="00B138B3" w:rsidP="00B138B3">
            <w:pPr>
              <w:pStyle w:val="Body-Table"/>
              <w:jc w:val="center"/>
            </w:pPr>
            <w:r w:rsidRPr="00CF0DF4">
              <w:t>38313</w:t>
            </w:r>
          </w:p>
        </w:tc>
        <w:tc>
          <w:tcPr>
            <w:tcW w:w="864" w:type="dxa"/>
            <w:shd w:val="clear" w:color="auto" w:fill="DDDDDD"/>
            <w:noWrap/>
            <w:vAlign w:val="center"/>
            <w:hideMark/>
          </w:tcPr>
          <w:p w14:paraId="624D1540" w14:textId="77777777" w:rsidR="00B138B3" w:rsidRPr="00CF0DF4" w:rsidRDefault="00B138B3" w:rsidP="00B138B3">
            <w:pPr>
              <w:pStyle w:val="Body-Table"/>
              <w:jc w:val="center"/>
            </w:pPr>
            <w:r w:rsidRPr="00CF0DF4">
              <w:t>82</w:t>
            </w:r>
          </w:p>
        </w:tc>
        <w:tc>
          <w:tcPr>
            <w:tcW w:w="720" w:type="dxa"/>
            <w:shd w:val="clear" w:color="auto" w:fill="DDDDDD"/>
            <w:noWrap/>
            <w:vAlign w:val="center"/>
            <w:hideMark/>
          </w:tcPr>
          <w:p w14:paraId="42352D97" w14:textId="77777777" w:rsidR="00B138B3" w:rsidRPr="00CF0DF4" w:rsidRDefault="00B138B3" w:rsidP="00B138B3">
            <w:pPr>
              <w:pStyle w:val="Body-Table"/>
              <w:jc w:val="center"/>
            </w:pPr>
            <w:r w:rsidRPr="00CF0DF4">
              <w:t>436</w:t>
            </w:r>
          </w:p>
        </w:tc>
        <w:tc>
          <w:tcPr>
            <w:tcW w:w="1008" w:type="dxa"/>
            <w:shd w:val="clear" w:color="auto" w:fill="DDDDDD"/>
            <w:noWrap/>
            <w:vAlign w:val="center"/>
            <w:hideMark/>
          </w:tcPr>
          <w:p w14:paraId="0D22BE91"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08F589CF"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4EB48877" w14:textId="77777777" w:rsidR="00B138B3" w:rsidRPr="00CF0DF4" w:rsidRDefault="00B138B3" w:rsidP="00B138B3">
            <w:pPr>
              <w:pStyle w:val="Body-Table"/>
              <w:jc w:val="center"/>
            </w:pPr>
            <w:r w:rsidRPr="00CF0DF4">
              <w:t>99</w:t>
            </w:r>
          </w:p>
        </w:tc>
      </w:tr>
      <w:tr w:rsidR="00B138B3" w:rsidRPr="00CF0DF4" w14:paraId="1E117EF8" w14:textId="77777777" w:rsidTr="005B536D">
        <w:trPr>
          <w:trHeight w:val="20"/>
        </w:trPr>
        <w:tc>
          <w:tcPr>
            <w:tcW w:w="3024" w:type="dxa"/>
            <w:shd w:val="clear" w:color="auto" w:fill="DDDDDD"/>
            <w:noWrap/>
            <w:vAlign w:val="center"/>
            <w:hideMark/>
          </w:tcPr>
          <w:p w14:paraId="0F0282F7" w14:textId="77777777" w:rsidR="00B138B3" w:rsidRPr="00CF0DF4" w:rsidRDefault="00B138B3" w:rsidP="00B138B3">
            <w:pPr>
              <w:pStyle w:val="Body-Table"/>
            </w:pPr>
            <w:r w:rsidRPr="00CF0DF4">
              <w:t>OLYMPEX_Ram-Des_98RHa</w:t>
            </w:r>
          </w:p>
        </w:tc>
        <w:tc>
          <w:tcPr>
            <w:tcW w:w="1440" w:type="dxa"/>
            <w:shd w:val="clear" w:color="auto" w:fill="DDDDDD"/>
          </w:tcPr>
          <w:p w14:paraId="1F99BA9D" w14:textId="27DD0286" w:rsidR="00B138B3" w:rsidRPr="00CF0DF4" w:rsidRDefault="00B138B3" w:rsidP="00B138B3">
            <w:pPr>
              <w:pStyle w:val="Body-Table"/>
              <w:jc w:val="center"/>
            </w:pPr>
            <w:r w:rsidRPr="00CF0DF4">
              <w:t>20151212</w:t>
            </w:r>
          </w:p>
        </w:tc>
        <w:tc>
          <w:tcPr>
            <w:tcW w:w="720" w:type="dxa"/>
            <w:shd w:val="clear" w:color="auto" w:fill="DDDDDD"/>
            <w:noWrap/>
            <w:vAlign w:val="center"/>
            <w:hideMark/>
          </w:tcPr>
          <w:p w14:paraId="6E66F540" w14:textId="0518B30D" w:rsidR="00B138B3" w:rsidRPr="00CF0DF4" w:rsidRDefault="00B138B3" w:rsidP="00B138B3">
            <w:pPr>
              <w:pStyle w:val="Body-Table"/>
              <w:jc w:val="center"/>
            </w:pPr>
            <w:r w:rsidRPr="00CF0DF4">
              <w:t>63412</w:t>
            </w:r>
          </w:p>
        </w:tc>
        <w:tc>
          <w:tcPr>
            <w:tcW w:w="864" w:type="dxa"/>
            <w:shd w:val="clear" w:color="auto" w:fill="DDDDDD"/>
            <w:noWrap/>
            <w:vAlign w:val="center"/>
            <w:hideMark/>
          </w:tcPr>
          <w:p w14:paraId="7EDB88F0" w14:textId="77777777" w:rsidR="00B138B3" w:rsidRPr="00CF0DF4" w:rsidRDefault="00B138B3" w:rsidP="00B138B3">
            <w:pPr>
              <w:pStyle w:val="Body-Table"/>
              <w:jc w:val="center"/>
            </w:pPr>
            <w:r w:rsidRPr="00CF0DF4">
              <w:t>58</w:t>
            </w:r>
          </w:p>
        </w:tc>
        <w:tc>
          <w:tcPr>
            <w:tcW w:w="720" w:type="dxa"/>
            <w:shd w:val="clear" w:color="auto" w:fill="DDDDDD"/>
            <w:noWrap/>
            <w:vAlign w:val="center"/>
            <w:hideMark/>
          </w:tcPr>
          <w:p w14:paraId="47216695" w14:textId="77777777" w:rsidR="00B138B3" w:rsidRPr="00CF0DF4" w:rsidRDefault="00B138B3" w:rsidP="00B138B3">
            <w:pPr>
              <w:pStyle w:val="Body-Table"/>
              <w:jc w:val="center"/>
            </w:pPr>
            <w:r w:rsidRPr="00CF0DF4">
              <w:t>251</w:t>
            </w:r>
          </w:p>
        </w:tc>
        <w:tc>
          <w:tcPr>
            <w:tcW w:w="1008" w:type="dxa"/>
            <w:shd w:val="clear" w:color="auto" w:fill="DDDDDD"/>
            <w:noWrap/>
            <w:vAlign w:val="center"/>
            <w:hideMark/>
          </w:tcPr>
          <w:p w14:paraId="676944A8"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4C7BDBC3"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46AAB5E9" w14:textId="77777777" w:rsidR="00B138B3" w:rsidRPr="00CF0DF4" w:rsidRDefault="00B138B3" w:rsidP="00B138B3">
            <w:pPr>
              <w:pStyle w:val="Body-Table"/>
              <w:jc w:val="center"/>
            </w:pPr>
            <w:r w:rsidRPr="00CF0DF4">
              <w:t>98</w:t>
            </w:r>
          </w:p>
        </w:tc>
      </w:tr>
      <w:tr w:rsidR="00B138B3" w:rsidRPr="00CF0DF4" w14:paraId="443A3EFF" w14:textId="77777777" w:rsidTr="005B536D">
        <w:trPr>
          <w:trHeight w:val="20"/>
        </w:trPr>
        <w:tc>
          <w:tcPr>
            <w:tcW w:w="3024" w:type="dxa"/>
            <w:shd w:val="clear" w:color="auto" w:fill="DDDDDD"/>
            <w:noWrap/>
            <w:vAlign w:val="center"/>
            <w:hideMark/>
          </w:tcPr>
          <w:p w14:paraId="2040A2F9" w14:textId="77777777" w:rsidR="00B138B3" w:rsidRPr="00CF0DF4" w:rsidRDefault="00B138B3" w:rsidP="00B138B3">
            <w:pPr>
              <w:pStyle w:val="Body-Table"/>
            </w:pPr>
            <w:r w:rsidRPr="00CF0DF4">
              <w:t>OLYMPEX_Spi-Asc_98RH</w:t>
            </w:r>
          </w:p>
        </w:tc>
        <w:tc>
          <w:tcPr>
            <w:tcW w:w="1440" w:type="dxa"/>
            <w:shd w:val="clear" w:color="auto" w:fill="DDDDDD"/>
          </w:tcPr>
          <w:p w14:paraId="6BD0D175" w14:textId="64B68F1E" w:rsidR="00B138B3" w:rsidRPr="00CF0DF4" w:rsidRDefault="00B138B3" w:rsidP="00B138B3">
            <w:pPr>
              <w:pStyle w:val="Body-Table"/>
              <w:jc w:val="center"/>
            </w:pPr>
            <w:r w:rsidRPr="00CF0DF4">
              <w:t>20151112</w:t>
            </w:r>
          </w:p>
        </w:tc>
        <w:tc>
          <w:tcPr>
            <w:tcW w:w="720" w:type="dxa"/>
            <w:shd w:val="clear" w:color="auto" w:fill="DDDDDD"/>
            <w:noWrap/>
            <w:vAlign w:val="center"/>
            <w:hideMark/>
          </w:tcPr>
          <w:p w14:paraId="6AB8EABE" w14:textId="76E289E3" w:rsidR="00B138B3" w:rsidRPr="00CF0DF4" w:rsidRDefault="00B138B3" w:rsidP="00B138B3">
            <w:pPr>
              <w:pStyle w:val="Body-Table"/>
              <w:jc w:val="center"/>
            </w:pPr>
            <w:r w:rsidRPr="00CF0DF4">
              <w:t>77802</w:t>
            </w:r>
          </w:p>
        </w:tc>
        <w:tc>
          <w:tcPr>
            <w:tcW w:w="864" w:type="dxa"/>
            <w:shd w:val="clear" w:color="auto" w:fill="DDDDDD"/>
            <w:noWrap/>
            <w:vAlign w:val="center"/>
            <w:hideMark/>
          </w:tcPr>
          <w:p w14:paraId="53127561" w14:textId="77777777" w:rsidR="00B138B3" w:rsidRPr="00CF0DF4" w:rsidRDefault="00B138B3" w:rsidP="00B138B3">
            <w:pPr>
              <w:pStyle w:val="Body-Table"/>
              <w:jc w:val="center"/>
            </w:pPr>
            <w:r w:rsidRPr="00CF0DF4">
              <w:t>48</w:t>
            </w:r>
          </w:p>
        </w:tc>
        <w:tc>
          <w:tcPr>
            <w:tcW w:w="720" w:type="dxa"/>
            <w:shd w:val="clear" w:color="auto" w:fill="DDDDDD"/>
            <w:noWrap/>
            <w:vAlign w:val="center"/>
            <w:hideMark/>
          </w:tcPr>
          <w:p w14:paraId="062DFBD5" w14:textId="77777777" w:rsidR="00B138B3" w:rsidRPr="00CF0DF4" w:rsidRDefault="00B138B3" w:rsidP="00B138B3">
            <w:pPr>
              <w:pStyle w:val="Body-Table"/>
              <w:jc w:val="center"/>
            </w:pPr>
            <w:r w:rsidRPr="00CF0DF4">
              <w:t>271</w:t>
            </w:r>
          </w:p>
        </w:tc>
        <w:tc>
          <w:tcPr>
            <w:tcW w:w="1008" w:type="dxa"/>
            <w:shd w:val="clear" w:color="auto" w:fill="DDDDDD"/>
            <w:noWrap/>
            <w:vAlign w:val="center"/>
            <w:hideMark/>
          </w:tcPr>
          <w:p w14:paraId="2D22DBF1"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2D5C83EB"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513DA044" w14:textId="77777777" w:rsidR="00B138B3" w:rsidRPr="00CF0DF4" w:rsidRDefault="00B138B3" w:rsidP="00B138B3">
            <w:pPr>
              <w:pStyle w:val="Body-Table"/>
              <w:jc w:val="center"/>
            </w:pPr>
            <w:r w:rsidRPr="00CF0DF4">
              <w:t>98</w:t>
            </w:r>
          </w:p>
        </w:tc>
      </w:tr>
      <w:tr w:rsidR="00B138B3" w:rsidRPr="00CF0DF4" w14:paraId="732F468A" w14:textId="77777777" w:rsidTr="005B536D">
        <w:trPr>
          <w:trHeight w:val="20"/>
        </w:trPr>
        <w:tc>
          <w:tcPr>
            <w:tcW w:w="3024" w:type="dxa"/>
            <w:shd w:val="clear" w:color="auto" w:fill="DDDDDD"/>
            <w:noWrap/>
            <w:vAlign w:val="center"/>
            <w:hideMark/>
          </w:tcPr>
          <w:p w14:paraId="098FA4DE" w14:textId="77777777" w:rsidR="00B138B3" w:rsidRPr="00CF0DF4" w:rsidRDefault="00B138B3" w:rsidP="00B138B3">
            <w:pPr>
              <w:pStyle w:val="Body-Table"/>
            </w:pPr>
            <w:r w:rsidRPr="00CF0DF4">
              <w:t>OLYMPEX_Ram-Des_98RHb</w:t>
            </w:r>
          </w:p>
        </w:tc>
        <w:tc>
          <w:tcPr>
            <w:tcW w:w="1440" w:type="dxa"/>
            <w:shd w:val="clear" w:color="auto" w:fill="DDDDDD"/>
          </w:tcPr>
          <w:p w14:paraId="5CB6F8C5" w14:textId="4A9D53D4" w:rsidR="00B138B3" w:rsidRPr="00CF0DF4" w:rsidRDefault="00B138B3" w:rsidP="00B138B3">
            <w:pPr>
              <w:pStyle w:val="Body-Table"/>
              <w:jc w:val="center"/>
            </w:pPr>
            <w:r w:rsidRPr="00CF0DF4">
              <w:t>20151213</w:t>
            </w:r>
          </w:p>
        </w:tc>
        <w:tc>
          <w:tcPr>
            <w:tcW w:w="720" w:type="dxa"/>
            <w:shd w:val="clear" w:color="auto" w:fill="DDDDDD"/>
            <w:noWrap/>
            <w:vAlign w:val="center"/>
            <w:hideMark/>
          </w:tcPr>
          <w:p w14:paraId="66B47F29" w14:textId="1009A2CB" w:rsidR="00B138B3" w:rsidRPr="00CF0DF4" w:rsidRDefault="00B138B3" w:rsidP="00B138B3">
            <w:pPr>
              <w:pStyle w:val="Body-Table"/>
              <w:jc w:val="center"/>
            </w:pPr>
            <w:r w:rsidRPr="00CF0DF4">
              <w:t>83737</w:t>
            </w:r>
          </w:p>
        </w:tc>
        <w:tc>
          <w:tcPr>
            <w:tcW w:w="864" w:type="dxa"/>
            <w:shd w:val="clear" w:color="auto" w:fill="DDDDDD"/>
            <w:noWrap/>
            <w:vAlign w:val="center"/>
            <w:hideMark/>
          </w:tcPr>
          <w:p w14:paraId="357F2FAC" w14:textId="77777777" w:rsidR="00B138B3" w:rsidRPr="00CF0DF4" w:rsidRDefault="00B138B3" w:rsidP="00B138B3">
            <w:pPr>
              <w:pStyle w:val="Body-Table"/>
              <w:jc w:val="center"/>
            </w:pPr>
            <w:r w:rsidRPr="00CF0DF4">
              <w:t>23</w:t>
            </w:r>
          </w:p>
        </w:tc>
        <w:tc>
          <w:tcPr>
            <w:tcW w:w="720" w:type="dxa"/>
            <w:shd w:val="clear" w:color="auto" w:fill="DDDDDD"/>
            <w:noWrap/>
            <w:vAlign w:val="center"/>
            <w:hideMark/>
          </w:tcPr>
          <w:p w14:paraId="6B54A2E9" w14:textId="77777777" w:rsidR="00B138B3" w:rsidRPr="00CF0DF4" w:rsidRDefault="00B138B3" w:rsidP="00B138B3">
            <w:pPr>
              <w:pStyle w:val="Body-Table"/>
              <w:jc w:val="center"/>
            </w:pPr>
            <w:r w:rsidRPr="00CF0DF4">
              <w:t>108</w:t>
            </w:r>
          </w:p>
        </w:tc>
        <w:tc>
          <w:tcPr>
            <w:tcW w:w="1008" w:type="dxa"/>
            <w:shd w:val="clear" w:color="auto" w:fill="DDDDDD"/>
            <w:noWrap/>
            <w:vAlign w:val="center"/>
            <w:hideMark/>
          </w:tcPr>
          <w:p w14:paraId="28FAC526"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376A0A10"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7A10D7AF" w14:textId="77777777" w:rsidR="00B138B3" w:rsidRPr="00CF0DF4" w:rsidRDefault="00B138B3" w:rsidP="00B138B3">
            <w:pPr>
              <w:pStyle w:val="Body-Table"/>
              <w:jc w:val="center"/>
            </w:pPr>
            <w:r w:rsidRPr="00CF0DF4">
              <w:t>98</w:t>
            </w:r>
          </w:p>
        </w:tc>
      </w:tr>
      <w:tr w:rsidR="00B138B3" w:rsidRPr="00CF0DF4" w14:paraId="4EA24E39" w14:textId="77777777" w:rsidTr="005B536D">
        <w:trPr>
          <w:trHeight w:val="20"/>
        </w:trPr>
        <w:tc>
          <w:tcPr>
            <w:tcW w:w="3024" w:type="dxa"/>
            <w:shd w:val="clear" w:color="auto" w:fill="DDDDDD"/>
            <w:noWrap/>
            <w:vAlign w:val="center"/>
            <w:hideMark/>
          </w:tcPr>
          <w:p w14:paraId="77B2009C" w14:textId="77777777" w:rsidR="00B138B3" w:rsidRPr="00CF0DF4" w:rsidRDefault="00B138B3" w:rsidP="00B138B3">
            <w:pPr>
              <w:pStyle w:val="Body-Table"/>
            </w:pPr>
            <w:r w:rsidRPr="00CF0DF4">
              <w:t>GCPEX_Spi-Asc_97RH</w:t>
            </w:r>
          </w:p>
        </w:tc>
        <w:tc>
          <w:tcPr>
            <w:tcW w:w="1440" w:type="dxa"/>
            <w:shd w:val="clear" w:color="auto" w:fill="DDDDDD"/>
          </w:tcPr>
          <w:p w14:paraId="63D988E3" w14:textId="10A5D55E" w:rsidR="00B138B3" w:rsidRPr="00CF0DF4" w:rsidRDefault="00B138B3" w:rsidP="00B138B3">
            <w:pPr>
              <w:pStyle w:val="Body-Table"/>
              <w:jc w:val="center"/>
            </w:pPr>
            <w:r w:rsidRPr="00CF0DF4">
              <w:t>20120127</w:t>
            </w:r>
          </w:p>
        </w:tc>
        <w:tc>
          <w:tcPr>
            <w:tcW w:w="720" w:type="dxa"/>
            <w:shd w:val="clear" w:color="auto" w:fill="DDDDDD"/>
            <w:noWrap/>
            <w:vAlign w:val="center"/>
            <w:hideMark/>
          </w:tcPr>
          <w:p w14:paraId="02CE50D8" w14:textId="1AA5C093" w:rsidR="00B138B3" w:rsidRPr="00CF0DF4" w:rsidRDefault="00B138B3" w:rsidP="00B138B3">
            <w:pPr>
              <w:pStyle w:val="Body-Table"/>
              <w:jc w:val="center"/>
            </w:pPr>
            <w:r w:rsidRPr="00CF0DF4">
              <w:t>11926</w:t>
            </w:r>
          </w:p>
        </w:tc>
        <w:tc>
          <w:tcPr>
            <w:tcW w:w="864" w:type="dxa"/>
            <w:shd w:val="clear" w:color="auto" w:fill="DDDDDD"/>
            <w:noWrap/>
            <w:vAlign w:val="center"/>
            <w:hideMark/>
          </w:tcPr>
          <w:p w14:paraId="40001ECC" w14:textId="77777777" w:rsidR="00B138B3" w:rsidRPr="00CF0DF4" w:rsidRDefault="00B138B3" w:rsidP="00B138B3">
            <w:pPr>
              <w:pStyle w:val="Body-Table"/>
              <w:jc w:val="center"/>
            </w:pPr>
            <w:r w:rsidRPr="00CF0DF4">
              <w:t>42</w:t>
            </w:r>
          </w:p>
        </w:tc>
        <w:tc>
          <w:tcPr>
            <w:tcW w:w="720" w:type="dxa"/>
            <w:shd w:val="clear" w:color="auto" w:fill="DDDDDD"/>
            <w:noWrap/>
            <w:vAlign w:val="center"/>
            <w:hideMark/>
          </w:tcPr>
          <w:p w14:paraId="5FAA5805" w14:textId="77777777" w:rsidR="00B138B3" w:rsidRPr="00CF0DF4" w:rsidRDefault="00B138B3" w:rsidP="00B138B3">
            <w:pPr>
              <w:pStyle w:val="Body-Table"/>
              <w:jc w:val="center"/>
            </w:pPr>
            <w:r w:rsidRPr="00CF0DF4">
              <w:t>453</w:t>
            </w:r>
          </w:p>
        </w:tc>
        <w:tc>
          <w:tcPr>
            <w:tcW w:w="1008" w:type="dxa"/>
            <w:shd w:val="clear" w:color="auto" w:fill="DDDDDD"/>
            <w:noWrap/>
            <w:vAlign w:val="center"/>
            <w:hideMark/>
          </w:tcPr>
          <w:p w14:paraId="24FF957B"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7C16451B"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7D660A33" w14:textId="77777777" w:rsidR="00B138B3" w:rsidRPr="00CF0DF4" w:rsidRDefault="00B138B3" w:rsidP="00B138B3">
            <w:pPr>
              <w:pStyle w:val="Body-Table"/>
              <w:jc w:val="center"/>
            </w:pPr>
            <w:r w:rsidRPr="00CF0DF4">
              <w:t>97</w:t>
            </w:r>
          </w:p>
        </w:tc>
      </w:tr>
      <w:tr w:rsidR="00B138B3" w:rsidRPr="00CF0DF4" w14:paraId="4769E2A0" w14:textId="77777777" w:rsidTr="005B536D">
        <w:trPr>
          <w:trHeight w:val="20"/>
        </w:trPr>
        <w:tc>
          <w:tcPr>
            <w:tcW w:w="3024" w:type="dxa"/>
            <w:shd w:val="clear" w:color="auto" w:fill="DDDDDD"/>
            <w:noWrap/>
            <w:vAlign w:val="center"/>
            <w:hideMark/>
          </w:tcPr>
          <w:p w14:paraId="439FB8BF" w14:textId="77777777" w:rsidR="00B138B3" w:rsidRPr="00CF0DF4" w:rsidRDefault="00B138B3" w:rsidP="00B138B3">
            <w:pPr>
              <w:pStyle w:val="Body-Table"/>
            </w:pPr>
            <w:r w:rsidRPr="00CF0DF4">
              <w:t>OLYMPEX_Ram-Des_96RH</w:t>
            </w:r>
          </w:p>
        </w:tc>
        <w:tc>
          <w:tcPr>
            <w:tcW w:w="1440" w:type="dxa"/>
            <w:shd w:val="clear" w:color="auto" w:fill="DDDDDD"/>
          </w:tcPr>
          <w:p w14:paraId="616F7977" w14:textId="44F73976" w:rsidR="00B138B3" w:rsidRPr="00CF0DF4" w:rsidRDefault="00B138B3" w:rsidP="00B138B3">
            <w:pPr>
              <w:pStyle w:val="Body-Table"/>
              <w:jc w:val="center"/>
            </w:pPr>
            <w:r w:rsidRPr="00CF0DF4">
              <w:t>20151112</w:t>
            </w:r>
          </w:p>
        </w:tc>
        <w:tc>
          <w:tcPr>
            <w:tcW w:w="720" w:type="dxa"/>
            <w:shd w:val="clear" w:color="auto" w:fill="DDDDDD"/>
            <w:noWrap/>
            <w:vAlign w:val="center"/>
            <w:hideMark/>
          </w:tcPr>
          <w:p w14:paraId="617F61A2" w14:textId="6D9DFFE9" w:rsidR="00B138B3" w:rsidRPr="00CF0DF4" w:rsidRDefault="00B138B3" w:rsidP="00B138B3">
            <w:pPr>
              <w:pStyle w:val="Body-Table"/>
              <w:jc w:val="center"/>
            </w:pPr>
            <w:r w:rsidRPr="00CF0DF4">
              <w:t>80832</w:t>
            </w:r>
          </w:p>
        </w:tc>
        <w:tc>
          <w:tcPr>
            <w:tcW w:w="864" w:type="dxa"/>
            <w:shd w:val="clear" w:color="auto" w:fill="DDDDDD"/>
            <w:noWrap/>
            <w:vAlign w:val="center"/>
            <w:hideMark/>
          </w:tcPr>
          <w:p w14:paraId="6ED1736B" w14:textId="77777777" w:rsidR="00B138B3" w:rsidRPr="00CF0DF4" w:rsidRDefault="00B138B3" w:rsidP="00B138B3">
            <w:pPr>
              <w:pStyle w:val="Body-Table"/>
              <w:jc w:val="center"/>
            </w:pPr>
            <w:r w:rsidRPr="00CF0DF4">
              <w:t>41</w:t>
            </w:r>
          </w:p>
        </w:tc>
        <w:tc>
          <w:tcPr>
            <w:tcW w:w="720" w:type="dxa"/>
            <w:shd w:val="clear" w:color="auto" w:fill="DDDDDD"/>
            <w:noWrap/>
            <w:vAlign w:val="center"/>
            <w:hideMark/>
          </w:tcPr>
          <w:p w14:paraId="7445BB77" w14:textId="77777777" w:rsidR="00B138B3" w:rsidRPr="00CF0DF4" w:rsidRDefault="00B138B3" w:rsidP="00B138B3">
            <w:pPr>
              <w:pStyle w:val="Body-Table"/>
              <w:jc w:val="center"/>
            </w:pPr>
            <w:r w:rsidRPr="00CF0DF4">
              <w:t>291</w:t>
            </w:r>
          </w:p>
        </w:tc>
        <w:tc>
          <w:tcPr>
            <w:tcW w:w="1008" w:type="dxa"/>
            <w:shd w:val="clear" w:color="auto" w:fill="DDDDDD"/>
            <w:noWrap/>
            <w:vAlign w:val="center"/>
            <w:hideMark/>
          </w:tcPr>
          <w:p w14:paraId="3235BE24"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52CC32EF"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7ECADC14" w14:textId="77777777" w:rsidR="00B138B3" w:rsidRPr="00CF0DF4" w:rsidRDefault="00B138B3" w:rsidP="00B138B3">
            <w:pPr>
              <w:pStyle w:val="Body-Table"/>
              <w:jc w:val="center"/>
            </w:pPr>
            <w:r w:rsidRPr="00CF0DF4">
              <w:t>96</w:t>
            </w:r>
          </w:p>
        </w:tc>
      </w:tr>
      <w:tr w:rsidR="00B138B3" w:rsidRPr="00CF0DF4" w14:paraId="19942570" w14:textId="77777777" w:rsidTr="005B536D">
        <w:trPr>
          <w:trHeight w:val="20"/>
        </w:trPr>
        <w:tc>
          <w:tcPr>
            <w:tcW w:w="3024" w:type="dxa"/>
            <w:shd w:val="clear" w:color="auto" w:fill="DDDDDD"/>
            <w:noWrap/>
            <w:vAlign w:val="center"/>
            <w:hideMark/>
          </w:tcPr>
          <w:p w14:paraId="4427FB9A" w14:textId="77777777" w:rsidR="00B138B3" w:rsidRPr="00CF0DF4" w:rsidRDefault="00B138B3" w:rsidP="00B138B3">
            <w:pPr>
              <w:pStyle w:val="Body-Table"/>
            </w:pPr>
            <w:r w:rsidRPr="00CF0DF4">
              <w:t>IMPACTS_Ram-Asc_95RH</w:t>
            </w:r>
          </w:p>
        </w:tc>
        <w:tc>
          <w:tcPr>
            <w:tcW w:w="1440" w:type="dxa"/>
            <w:shd w:val="clear" w:color="auto" w:fill="DDDDDD"/>
          </w:tcPr>
          <w:p w14:paraId="0680E7B3" w14:textId="5B643430" w:rsidR="00B138B3" w:rsidRPr="00CF0DF4" w:rsidRDefault="00B138B3" w:rsidP="00B138B3">
            <w:pPr>
              <w:pStyle w:val="Body-Table"/>
              <w:jc w:val="center"/>
            </w:pPr>
            <w:r w:rsidRPr="00CF0DF4">
              <w:t>20200220</w:t>
            </w:r>
          </w:p>
        </w:tc>
        <w:tc>
          <w:tcPr>
            <w:tcW w:w="720" w:type="dxa"/>
            <w:shd w:val="clear" w:color="auto" w:fill="DDDDDD"/>
            <w:noWrap/>
            <w:vAlign w:val="center"/>
            <w:hideMark/>
          </w:tcPr>
          <w:p w14:paraId="4CEC16DD" w14:textId="6738BB93" w:rsidR="00B138B3" w:rsidRPr="00CF0DF4" w:rsidRDefault="00B138B3" w:rsidP="00B138B3">
            <w:pPr>
              <w:pStyle w:val="Body-Table"/>
              <w:jc w:val="center"/>
            </w:pPr>
            <w:r w:rsidRPr="00CF0DF4">
              <w:t>87676</w:t>
            </w:r>
          </w:p>
        </w:tc>
        <w:tc>
          <w:tcPr>
            <w:tcW w:w="864" w:type="dxa"/>
            <w:shd w:val="clear" w:color="auto" w:fill="DDDDDD"/>
            <w:noWrap/>
            <w:vAlign w:val="center"/>
            <w:hideMark/>
          </w:tcPr>
          <w:p w14:paraId="183606E9" w14:textId="77777777" w:rsidR="00B138B3" w:rsidRPr="00CF0DF4" w:rsidRDefault="00B138B3" w:rsidP="00B138B3">
            <w:pPr>
              <w:pStyle w:val="Body-Table"/>
              <w:jc w:val="center"/>
            </w:pPr>
            <w:r w:rsidRPr="00CF0DF4">
              <w:t>86</w:t>
            </w:r>
          </w:p>
        </w:tc>
        <w:tc>
          <w:tcPr>
            <w:tcW w:w="720" w:type="dxa"/>
            <w:shd w:val="clear" w:color="auto" w:fill="DDDDDD"/>
            <w:noWrap/>
            <w:vAlign w:val="center"/>
            <w:hideMark/>
          </w:tcPr>
          <w:p w14:paraId="6BB3DE53" w14:textId="77777777" w:rsidR="00B138B3" w:rsidRPr="00CF0DF4" w:rsidRDefault="00B138B3" w:rsidP="00B138B3">
            <w:pPr>
              <w:pStyle w:val="Body-Table"/>
              <w:jc w:val="center"/>
            </w:pPr>
            <w:r w:rsidRPr="00CF0DF4">
              <w:t>519</w:t>
            </w:r>
          </w:p>
        </w:tc>
        <w:tc>
          <w:tcPr>
            <w:tcW w:w="1008" w:type="dxa"/>
            <w:shd w:val="clear" w:color="auto" w:fill="DDDDDD"/>
            <w:noWrap/>
            <w:vAlign w:val="center"/>
            <w:hideMark/>
          </w:tcPr>
          <w:p w14:paraId="6E651381"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36AA37B8"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3B28716D" w14:textId="77777777" w:rsidR="00B138B3" w:rsidRPr="00CF0DF4" w:rsidRDefault="00B138B3" w:rsidP="00B138B3">
            <w:pPr>
              <w:pStyle w:val="Body-Table"/>
              <w:jc w:val="center"/>
            </w:pPr>
            <w:r w:rsidRPr="00CF0DF4">
              <w:t>95</w:t>
            </w:r>
          </w:p>
        </w:tc>
      </w:tr>
      <w:tr w:rsidR="00B138B3" w:rsidRPr="00CF0DF4" w14:paraId="61121CD1" w14:textId="77777777" w:rsidTr="005B536D">
        <w:trPr>
          <w:trHeight w:val="20"/>
        </w:trPr>
        <w:tc>
          <w:tcPr>
            <w:tcW w:w="3024" w:type="dxa"/>
            <w:shd w:val="clear" w:color="auto" w:fill="DDDDDD"/>
            <w:noWrap/>
            <w:vAlign w:val="center"/>
            <w:hideMark/>
          </w:tcPr>
          <w:p w14:paraId="636CEE0F" w14:textId="77777777" w:rsidR="00B138B3" w:rsidRPr="00CF0DF4" w:rsidRDefault="00B138B3" w:rsidP="00B138B3">
            <w:pPr>
              <w:pStyle w:val="Body-Table"/>
            </w:pPr>
            <w:r w:rsidRPr="00CF0DF4">
              <w:t>OLYMPEX_Ram-Asc_95RH</w:t>
            </w:r>
          </w:p>
        </w:tc>
        <w:tc>
          <w:tcPr>
            <w:tcW w:w="1440" w:type="dxa"/>
            <w:shd w:val="clear" w:color="auto" w:fill="DDDDDD"/>
          </w:tcPr>
          <w:p w14:paraId="54AE95E2" w14:textId="2E330ADA" w:rsidR="00B138B3" w:rsidRPr="00CF0DF4" w:rsidRDefault="00B138B3" w:rsidP="00B138B3">
            <w:pPr>
              <w:pStyle w:val="Body-Table"/>
              <w:jc w:val="center"/>
            </w:pPr>
            <w:r w:rsidRPr="00CF0DF4">
              <w:t>20151212</w:t>
            </w:r>
          </w:p>
        </w:tc>
        <w:tc>
          <w:tcPr>
            <w:tcW w:w="720" w:type="dxa"/>
            <w:shd w:val="clear" w:color="auto" w:fill="DDDDDD"/>
            <w:noWrap/>
            <w:vAlign w:val="center"/>
            <w:hideMark/>
          </w:tcPr>
          <w:p w14:paraId="64F5B460" w14:textId="2CC9CC47" w:rsidR="00B138B3" w:rsidRPr="00CF0DF4" w:rsidRDefault="00B138B3" w:rsidP="00B138B3">
            <w:pPr>
              <w:pStyle w:val="Body-Table"/>
              <w:jc w:val="center"/>
            </w:pPr>
            <w:r w:rsidRPr="00CF0DF4">
              <w:t>64265</w:t>
            </w:r>
          </w:p>
        </w:tc>
        <w:tc>
          <w:tcPr>
            <w:tcW w:w="864" w:type="dxa"/>
            <w:shd w:val="clear" w:color="auto" w:fill="DDDDDD"/>
            <w:noWrap/>
            <w:vAlign w:val="center"/>
            <w:hideMark/>
          </w:tcPr>
          <w:p w14:paraId="4115BB8A" w14:textId="77777777" w:rsidR="00B138B3" w:rsidRPr="00CF0DF4" w:rsidRDefault="00B138B3" w:rsidP="00B138B3">
            <w:pPr>
              <w:pStyle w:val="Body-Table"/>
              <w:jc w:val="center"/>
            </w:pPr>
            <w:r w:rsidRPr="00CF0DF4">
              <w:t>62</w:t>
            </w:r>
          </w:p>
        </w:tc>
        <w:tc>
          <w:tcPr>
            <w:tcW w:w="720" w:type="dxa"/>
            <w:shd w:val="clear" w:color="auto" w:fill="DDDDDD"/>
            <w:noWrap/>
            <w:vAlign w:val="center"/>
            <w:hideMark/>
          </w:tcPr>
          <w:p w14:paraId="79C86FDA" w14:textId="77777777" w:rsidR="00B138B3" w:rsidRPr="00CF0DF4" w:rsidRDefault="00B138B3" w:rsidP="00B138B3">
            <w:pPr>
              <w:pStyle w:val="Body-Table"/>
              <w:jc w:val="center"/>
            </w:pPr>
            <w:r w:rsidRPr="00CF0DF4">
              <w:t>334</w:t>
            </w:r>
          </w:p>
        </w:tc>
        <w:tc>
          <w:tcPr>
            <w:tcW w:w="1008" w:type="dxa"/>
            <w:shd w:val="clear" w:color="auto" w:fill="DDDDDD"/>
            <w:noWrap/>
            <w:vAlign w:val="center"/>
            <w:hideMark/>
          </w:tcPr>
          <w:p w14:paraId="1977EC6B"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28B57FD7"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55F63312" w14:textId="77777777" w:rsidR="00B138B3" w:rsidRPr="00CF0DF4" w:rsidRDefault="00B138B3" w:rsidP="00B138B3">
            <w:pPr>
              <w:pStyle w:val="Body-Table"/>
              <w:jc w:val="center"/>
            </w:pPr>
            <w:r w:rsidRPr="00CF0DF4">
              <w:t>95</w:t>
            </w:r>
          </w:p>
        </w:tc>
      </w:tr>
      <w:tr w:rsidR="00B138B3" w:rsidRPr="00CF0DF4" w14:paraId="37813729" w14:textId="77777777" w:rsidTr="005B536D">
        <w:trPr>
          <w:trHeight w:val="20"/>
        </w:trPr>
        <w:tc>
          <w:tcPr>
            <w:tcW w:w="3024" w:type="dxa"/>
            <w:shd w:val="clear" w:color="auto" w:fill="DDDDDD"/>
            <w:noWrap/>
            <w:vAlign w:val="center"/>
            <w:hideMark/>
          </w:tcPr>
          <w:p w14:paraId="0EE8719E" w14:textId="77777777" w:rsidR="00B138B3" w:rsidRPr="00CF0DF4" w:rsidRDefault="00B138B3" w:rsidP="00B138B3">
            <w:pPr>
              <w:pStyle w:val="Body-Table"/>
            </w:pPr>
            <w:r w:rsidRPr="00CF0DF4">
              <w:t>MC3E_Spi-Des_95RH</w:t>
            </w:r>
          </w:p>
        </w:tc>
        <w:tc>
          <w:tcPr>
            <w:tcW w:w="1440" w:type="dxa"/>
            <w:shd w:val="clear" w:color="auto" w:fill="DDDDDD"/>
          </w:tcPr>
          <w:p w14:paraId="6C85D9A7" w14:textId="773418DF" w:rsidR="00B138B3" w:rsidRPr="00CF0DF4" w:rsidRDefault="00B138B3" w:rsidP="00B138B3">
            <w:pPr>
              <w:pStyle w:val="Body-Table"/>
              <w:jc w:val="center"/>
            </w:pPr>
            <w:r w:rsidRPr="00CF0DF4">
              <w:t>20110427</w:t>
            </w:r>
          </w:p>
        </w:tc>
        <w:tc>
          <w:tcPr>
            <w:tcW w:w="720" w:type="dxa"/>
            <w:shd w:val="clear" w:color="auto" w:fill="DDDDDD"/>
            <w:noWrap/>
            <w:vAlign w:val="center"/>
            <w:hideMark/>
          </w:tcPr>
          <w:p w14:paraId="065B7F43" w14:textId="793B219F" w:rsidR="00B138B3" w:rsidRPr="00CF0DF4" w:rsidRDefault="00B138B3" w:rsidP="00B138B3">
            <w:pPr>
              <w:pStyle w:val="Body-Table"/>
              <w:jc w:val="center"/>
            </w:pPr>
            <w:r w:rsidRPr="00CF0DF4">
              <w:t>36454</w:t>
            </w:r>
          </w:p>
        </w:tc>
        <w:tc>
          <w:tcPr>
            <w:tcW w:w="864" w:type="dxa"/>
            <w:shd w:val="clear" w:color="auto" w:fill="DDDDDD"/>
            <w:noWrap/>
            <w:vAlign w:val="center"/>
            <w:hideMark/>
          </w:tcPr>
          <w:p w14:paraId="7F2DDE0A" w14:textId="77777777" w:rsidR="00B138B3" w:rsidRPr="00CF0DF4" w:rsidRDefault="00B138B3" w:rsidP="00B138B3">
            <w:pPr>
              <w:pStyle w:val="Body-Table"/>
              <w:jc w:val="center"/>
            </w:pPr>
            <w:r w:rsidRPr="00CF0DF4">
              <w:t>106</w:t>
            </w:r>
          </w:p>
        </w:tc>
        <w:tc>
          <w:tcPr>
            <w:tcW w:w="720" w:type="dxa"/>
            <w:shd w:val="clear" w:color="auto" w:fill="DDDDDD"/>
            <w:noWrap/>
            <w:vAlign w:val="center"/>
            <w:hideMark/>
          </w:tcPr>
          <w:p w14:paraId="1DAC2863" w14:textId="77777777" w:rsidR="00B138B3" w:rsidRPr="00CF0DF4" w:rsidRDefault="00B138B3" w:rsidP="00B138B3">
            <w:pPr>
              <w:pStyle w:val="Body-Table"/>
              <w:jc w:val="center"/>
            </w:pPr>
            <w:r w:rsidRPr="00CF0DF4">
              <w:t>458</w:t>
            </w:r>
          </w:p>
        </w:tc>
        <w:tc>
          <w:tcPr>
            <w:tcW w:w="1008" w:type="dxa"/>
            <w:shd w:val="clear" w:color="auto" w:fill="DDDDDD"/>
            <w:noWrap/>
            <w:vAlign w:val="center"/>
            <w:hideMark/>
          </w:tcPr>
          <w:p w14:paraId="70961017"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47F4300D"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7DE43990" w14:textId="77777777" w:rsidR="00B138B3" w:rsidRPr="00CF0DF4" w:rsidRDefault="00B138B3" w:rsidP="00B138B3">
            <w:pPr>
              <w:pStyle w:val="Body-Table"/>
              <w:jc w:val="center"/>
            </w:pPr>
            <w:r w:rsidRPr="00CF0DF4">
              <w:t>95</w:t>
            </w:r>
          </w:p>
        </w:tc>
      </w:tr>
      <w:tr w:rsidR="00B138B3" w:rsidRPr="00CF0DF4" w14:paraId="3B8FBD86" w14:textId="77777777" w:rsidTr="005B536D">
        <w:trPr>
          <w:trHeight w:val="20"/>
        </w:trPr>
        <w:tc>
          <w:tcPr>
            <w:tcW w:w="3024" w:type="dxa"/>
            <w:shd w:val="clear" w:color="auto" w:fill="DDDDDD"/>
            <w:noWrap/>
            <w:vAlign w:val="center"/>
            <w:hideMark/>
          </w:tcPr>
          <w:p w14:paraId="732DDE75" w14:textId="77777777" w:rsidR="00B138B3" w:rsidRPr="00CF0DF4" w:rsidRDefault="00B138B3" w:rsidP="00B138B3">
            <w:pPr>
              <w:pStyle w:val="Body-Table"/>
            </w:pPr>
            <w:r w:rsidRPr="00CF0DF4">
              <w:t>MC3E_Spi-Des_95RH</w:t>
            </w:r>
          </w:p>
        </w:tc>
        <w:tc>
          <w:tcPr>
            <w:tcW w:w="1440" w:type="dxa"/>
            <w:shd w:val="clear" w:color="auto" w:fill="DDDDDD"/>
          </w:tcPr>
          <w:p w14:paraId="457B9A3F" w14:textId="24AB0E63" w:rsidR="00B138B3" w:rsidRPr="00CF0DF4" w:rsidRDefault="00B138B3" w:rsidP="00B138B3">
            <w:pPr>
              <w:pStyle w:val="Body-Table"/>
              <w:jc w:val="center"/>
            </w:pPr>
            <w:r w:rsidRPr="00CF0DF4">
              <w:t>20110520</w:t>
            </w:r>
          </w:p>
        </w:tc>
        <w:tc>
          <w:tcPr>
            <w:tcW w:w="720" w:type="dxa"/>
            <w:shd w:val="clear" w:color="auto" w:fill="DDDDDD"/>
            <w:noWrap/>
            <w:vAlign w:val="center"/>
            <w:hideMark/>
          </w:tcPr>
          <w:p w14:paraId="41BC220B" w14:textId="3C7DE9B5" w:rsidR="00B138B3" w:rsidRPr="00CF0DF4" w:rsidRDefault="00B138B3" w:rsidP="00B138B3">
            <w:pPr>
              <w:pStyle w:val="Body-Table"/>
              <w:jc w:val="center"/>
            </w:pPr>
            <w:r w:rsidRPr="00CF0DF4">
              <w:t>55073</w:t>
            </w:r>
          </w:p>
        </w:tc>
        <w:tc>
          <w:tcPr>
            <w:tcW w:w="864" w:type="dxa"/>
            <w:shd w:val="clear" w:color="auto" w:fill="DDDDDD"/>
            <w:noWrap/>
            <w:vAlign w:val="center"/>
            <w:hideMark/>
          </w:tcPr>
          <w:p w14:paraId="6972DD6E" w14:textId="77777777" w:rsidR="00B138B3" w:rsidRPr="00CF0DF4" w:rsidRDefault="00B138B3" w:rsidP="00B138B3">
            <w:pPr>
              <w:pStyle w:val="Body-Table"/>
              <w:jc w:val="center"/>
            </w:pPr>
            <w:r w:rsidRPr="00CF0DF4">
              <w:t>71</w:t>
            </w:r>
          </w:p>
        </w:tc>
        <w:tc>
          <w:tcPr>
            <w:tcW w:w="720" w:type="dxa"/>
            <w:shd w:val="clear" w:color="auto" w:fill="DDDDDD"/>
            <w:noWrap/>
            <w:vAlign w:val="center"/>
            <w:hideMark/>
          </w:tcPr>
          <w:p w14:paraId="76A5B234" w14:textId="77777777" w:rsidR="00B138B3" w:rsidRPr="00CF0DF4" w:rsidRDefault="00B138B3" w:rsidP="00B138B3">
            <w:pPr>
              <w:pStyle w:val="Body-Table"/>
              <w:jc w:val="center"/>
            </w:pPr>
            <w:r w:rsidRPr="00CF0DF4">
              <w:t>424</w:t>
            </w:r>
          </w:p>
        </w:tc>
        <w:tc>
          <w:tcPr>
            <w:tcW w:w="1008" w:type="dxa"/>
            <w:shd w:val="clear" w:color="auto" w:fill="DDDDDD"/>
            <w:noWrap/>
            <w:vAlign w:val="center"/>
            <w:hideMark/>
          </w:tcPr>
          <w:p w14:paraId="4DB26EA6"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514BB696"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60A881FD" w14:textId="77777777" w:rsidR="00B138B3" w:rsidRPr="00CF0DF4" w:rsidRDefault="00B138B3" w:rsidP="00B138B3">
            <w:pPr>
              <w:pStyle w:val="Body-Table"/>
              <w:jc w:val="center"/>
            </w:pPr>
            <w:r w:rsidRPr="00CF0DF4">
              <w:t>95</w:t>
            </w:r>
          </w:p>
        </w:tc>
      </w:tr>
      <w:tr w:rsidR="00B138B3" w:rsidRPr="00CF0DF4" w14:paraId="1DA66353" w14:textId="77777777" w:rsidTr="005B536D">
        <w:trPr>
          <w:trHeight w:val="20"/>
        </w:trPr>
        <w:tc>
          <w:tcPr>
            <w:tcW w:w="3024" w:type="dxa"/>
            <w:shd w:val="clear" w:color="auto" w:fill="DDDDDD"/>
            <w:noWrap/>
            <w:vAlign w:val="center"/>
            <w:hideMark/>
          </w:tcPr>
          <w:p w14:paraId="146685C4" w14:textId="77777777" w:rsidR="00B138B3" w:rsidRPr="00CF0DF4" w:rsidRDefault="00B138B3" w:rsidP="00B138B3">
            <w:pPr>
              <w:pStyle w:val="Body-Table"/>
            </w:pPr>
            <w:r w:rsidRPr="00CF0DF4">
              <w:t>IMPACTS_Spi-Des_94RH</w:t>
            </w:r>
          </w:p>
        </w:tc>
        <w:tc>
          <w:tcPr>
            <w:tcW w:w="1440" w:type="dxa"/>
            <w:shd w:val="clear" w:color="auto" w:fill="DDDDDD"/>
          </w:tcPr>
          <w:p w14:paraId="759F2589" w14:textId="5153AAAE" w:rsidR="00B138B3" w:rsidRPr="00CF0DF4" w:rsidRDefault="00B138B3" w:rsidP="00B138B3">
            <w:pPr>
              <w:pStyle w:val="Body-Table"/>
              <w:jc w:val="center"/>
            </w:pPr>
            <w:r w:rsidRPr="00CF0DF4">
              <w:t>20200205</w:t>
            </w:r>
          </w:p>
        </w:tc>
        <w:tc>
          <w:tcPr>
            <w:tcW w:w="720" w:type="dxa"/>
            <w:shd w:val="clear" w:color="auto" w:fill="DDDDDD"/>
            <w:noWrap/>
            <w:vAlign w:val="center"/>
            <w:hideMark/>
          </w:tcPr>
          <w:p w14:paraId="3C2659A4" w14:textId="5D7BE8CF" w:rsidR="00B138B3" w:rsidRPr="00CF0DF4" w:rsidRDefault="00B138B3" w:rsidP="00B138B3">
            <w:pPr>
              <w:pStyle w:val="Body-Table"/>
              <w:jc w:val="center"/>
            </w:pPr>
            <w:r w:rsidRPr="00CF0DF4">
              <w:t>80842</w:t>
            </w:r>
          </w:p>
        </w:tc>
        <w:tc>
          <w:tcPr>
            <w:tcW w:w="864" w:type="dxa"/>
            <w:shd w:val="clear" w:color="auto" w:fill="DDDDDD"/>
            <w:noWrap/>
            <w:vAlign w:val="center"/>
            <w:hideMark/>
          </w:tcPr>
          <w:p w14:paraId="2649AD37" w14:textId="77777777" w:rsidR="00B138B3" w:rsidRPr="00CF0DF4" w:rsidRDefault="00B138B3" w:rsidP="00B138B3">
            <w:pPr>
              <w:pStyle w:val="Body-Table"/>
              <w:jc w:val="center"/>
            </w:pPr>
            <w:r w:rsidRPr="00CF0DF4">
              <w:t>106</w:t>
            </w:r>
          </w:p>
        </w:tc>
        <w:tc>
          <w:tcPr>
            <w:tcW w:w="720" w:type="dxa"/>
            <w:shd w:val="clear" w:color="auto" w:fill="DDDDDD"/>
            <w:noWrap/>
            <w:vAlign w:val="center"/>
            <w:hideMark/>
          </w:tcPr>
          <w:p w14:paraId="7386D924" w14:textId="77777777" w:rsidR="00B138B3" w:rsidRPr="00CF0DF4" w:rsidRDefault="00B138B3" w:rsidP="00B138B3">
            <w:pPr>
              <w:pStyle w:val="Body-Table"/>
              <w:jc w:val="center"/>
            </w:pPr>
            <w:r w:rsidRPr="00CF0DF4">
              <w:t>494</w:t>
            </w:r>
          </w:p>
        </w:tc>
        <w:tc>
          <w:tcPr>
            <w:tcW w:w="1008" w:type="dxa"/>
            <w:shd w:val="clear" w:color="auto" w:fill="DDDDDD"/>
            <w:noWrap/>
            <w:vAlign w:val="center"/>
            <w:hideMark/>
          </w:tcPr>
          <w:p w14:paraId="174522D5"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5255F675"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46DCBF5E" w14:textId="77777777" w:rsidR="00B138B3" w:rsidRPr="00CF0DF4" w:rsidRDefault="00B138B3" w:rsidP="00B138B3">
            <w:pPr>
              <w:pStyle w:val="Body-Table"/>
              <w:jc w:val="center"/>
            </w:pPr>
            <w:r w:rsidRPr="00CF0DF4">
              <w:t>94</w:t>
            </w:r>
          </w:p>
        </w:tc>
      </w:tr>
      <w:tr w:rsidR="00B138B3" w:rsidRPr="00CF0DF4" w14:paraId="174DD78F" w14:textId="77777777" w:rsidTr="005B536D">
        <w:trPr>
          <w:trHeight w:val="20"/>
        </w:trPr>
        <w:tc>
          <w:tcPr>
            <w:tcW w:w="3024" w:type="dxa"/>
            <w:shd w:val="clear" w:color="auto" w:fill="DDDDDD"/>
            <w:noWrap/>
            <w:vAlign w:val="center"/>
            <w:hideMark/>
          </w:tcPr>
          <w:p w14:paraId="133D2964" w14:textId="77777777" w:rsidR="00B138B3" w:rsidRPr="00CF0DF4" w:rsidRDefault="00B138B3" w:rsidP="00B138B3">
            <w:pPr>
              <w:pStyle w:val="Body-Table"/>
            </w:pPr>
            <w:r w:rsidRPr="00CF0DF4">
              <w:t>IPHEX_Ram-Asc_92RH</w:t>
            </w:r>
          </w:p>
        </w:tc>
        <w:tc>
          <w:tcPr>
            <w:tcW w:w="1440" w:type="dxa"/>
            <w:shd w:val="clear" w:color="auto" w:fill="DDDDDD"/>
          </w:tcPr>
          <w:p w14:paraId="5E371422" w14:textId="11C7B054" w:rsidR="00B138B3" w:rsidRPr="00CF0DF4" w:rsidRDefault="00B138B3" w:rsidP="00B138B3">
            <w:pPr>
              <w:pStyle w:val="Body-Table"/>
              <w:jc w:val="center"/>
            </w:pPr>
            <w:r w:rsidRPr="00CF0DF4">
              <w:t>20140527</w:t>
            </w:r>
          </w:p>
        </w:tc>
        <w:tc>
          <w:tcPr>
            <w:tcW w:w="720" w:type="dxa"/>
            <w:shd w:val="clear" w:color="auto" w:fill="DDDDDD"/>
            <w:noWrap/>
            <w:vAlign w:val="center"/>
            <w:hideMark/>
          </w:tcPr>
          <w:p w14:paraId="2C69AAAF" w14:textId="5C164A8E" w:rsidR="00B138B3" w:rsidRPr="00CF0DF4" w:rsidRDefault="00B138B3" w:rsidP="00B138B3">
            <w:pPr>
              <w:pStyle w:val="Body-Table"/>
              <w:jc w:val="center"/>
            </w:pPr>
            <w:r w:rsidRPr="00CF0DF4">
              <w:t>77277</w:t>
            </w:r>
          </w:p>
        </w:tc>
        <w:tc>
          <w:tcPr>
            <w:tcW w:w="864" w:type="dxa"/>
            <w:shd w:val="clear" w:color="auto" w:fill="DDDDDD"/>
            <w:noWrap/>
            <w:vAlign w:val="center"/>
            <w:hideMark/>
          </w:tcPr>
          <w:p w14:paraId="6CC5CEBE" w14:textId="77777777" w:rsidR="00B138B3" w:rsidRPr="00CF0DF4" w:rsidRDefault="00B138B3" w:rsidP="00B138B3">
            <w:pPr>
              <w:pStyle w:val="Body-Table"/>
              <w:jc w:val="center"/>
            </w:pPr>
            <w:r w:rsidRPr="00CF0DF4">
              <w:t>42</w:t>
            </w:r>
          </w:p>
        </w:tc>
        <w:tc>
          <w:tcPr>
            <w:tcW w:w="720" w:type="dxa"/>
            <w:shd w:val="clear" w:color="auto" w:fill="DDDDDD"/>
            <w:noWrap/>
            <w:vAlign w:val="center"/>
            <w:hideMark/>
          </w:tcPr>
          <w:p w14:paraId="7B9940B0" w14:textId="77777777" w:rsidR="00B138B3" w:rsidRPr="00CF0DF4" w:rsidRDefault="00B138B3" w:rsidP="00B138B3">
            <w:pPr>
              <w:pStyle w:val="Body-Table"/>
              <w:jc w:val="center"/>
            </w:pPr>
            <w:r w:rsidRPr="00CF0DF4">
              <w:t>347</w:t>
            </w:r>
          </w:p>
        </w:tc>
        <w:tc>
          <w:tcPr>
            <w:tcW w:w="1008" w:type="dxa"/>
            <w:shd w:val="clear" w:color="auto" w:fill="DDDDDD"/>
            <w:noWrap/>
            <w:vAlign w:val="center"/>
            <w:hideMark/>
          </w:tcPr>
          <w:p w14:paraId="41538EE8"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3D9E3492"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79539A28" w14:textId="77777777" w:rsidR="00B138B3" w:rsidRPr="00CF0DF4" w:rsidRDefault="00B138B3" w:rsidP="00B138B3">
            <w:pPr>
              <w:pStyle w:val="Body-Table"/>
              <w:jc w:val="center"/>
            </w:pPr>
            <w:r w:rsidRPr="00CF0DF4">
              <w:t>92</w:t>
            </w:r>
          </w:p>
        </w:tc>
      </w:tr>
      <w:tr w:rsidR="00B138B3" w:rsidRPr="00CF0DF4" w14:paraId="1FABDB83" w14:textId="77777777" w:rsidTr="005B536D">
        <w:trPr>
          <w:trHeight w:val="20"/>
        </w:trPr>
        <w:tc>
          <w:tcPr>
            <w:tcW w:w="3024" w:type="dxa"/>
            <w:shd w:val="clear" w:color="auto" w:fill="DDDDDD"/>
            <w:noWrap/>
            <w:vAlign w:val="center"/>
            <w:hideMark/>
          </w:tcPr>
          <w:p w14:paraId="20535980" w14:textId="77777777" w:rsidR="00B138B3" w:rsidRPr="00CF0DF4" w:rsidRDefault="00B138B3" w:rsidP="00B138B3">
            <w:pPr>
              <w:pStyle w:val="Body-Table"/>
            </w:pPr>
            <w:r w:rsidRPr="00CF0DF4">
              <w:t>OLYMPEX_Ram-Asc_92RH</w:t>
            </w:r>
          </w:p>
        </w:tc>
        <w:tc>
          <w:tcPr>
            <w:tcW w:w="1440" w:type="dxa"/>
            <w:shd w:val="clear" w:color="auto" w:fill="DDDDDD"/>
          </w:tcPr>
          <w:p w14:paraId="4FDAA7F9" w14:textId="34C43532" w:rsidR="00B138B3" w:rsidRPr="00CF0DF4" w:rsidRDefault="00B138B3" w:rsidP="00B138B3">
            <w:pPr>
              <w:pStyle w:val="Body-Table"/>
              <w:jc w:val="center"/>
            </w:pPr>
            <w:r w:rsidRPr="00CF0DF4">
              <w:t>20151118</w:t>
            </w:r>
          </w:p>
        </w:tc>
        <w:tc>
          <w:tcPr>
            <w:tcW w:w="720" w:type="dxa"/>
            <w:shd w:val="clear" w:color="auto" w:fill="DDDDDD"/>
            <w:noWrap/>
            <w:vAlign w:val="center"/>
            <w:hideMark/>
          </w:tcPr>
          <w:p w14:paraId="389D4118" w14:textId="763E51F2" w:rsidR="00B138B3" w:rsidRPr="00CF0DF4" w:rsidRDefault="00B138B3" w:rsidP="00B138B3">
            <w:pPr>
              <w:pStyle w:val="Body-Table"/>
              <w:jc w:val="center"/>
            </w:pPr>
            <w:r w:rsidRPr="00CF0DF4">
              <w:t>84662</w:t>
            </w:r>
          </w:p>
        </w:tc>
        <w:tc>
          <w:tcPr>
            <w:tcW w:w="864" w:type="dxa"/>
            <w:shd w:val="clear" w:color="auto" w:fill="DDDDDD"/>
            <w:noWrap/>
            <w:vAlign w:val="center"/>
            <w:hideMark/>
          </w:tcPr>
          <w:p w14:paraId="03D6F50A" w14:textId="77777777" w:rsidR="00B138B3" w:rsidRPr="00CF0DF4" w:rsidRDefault="00B138B3" w:rsidP="00B138B3">
            <w:pPr>
              <w:pStyle w:val="Body-Table"/>
              <w:jc w:val="center"/>
            </w:pPr>
            <w:r w:rsidRPr="00CF0DF4">
              <w:t>68</w:t>
            </w:r>
          </w:p>
        </w:tc>
        <w:tc>
          <w:tcPr>
            <w:tcW w:w="720" w:type="dxa"/>
            <w:shd w:val="clear" w:color="auto" w:fill="DDDDDD"/>
            <w:noWrap/>
            <w:vAlign w:val="center"/>
            <w:hideMark/>
          </w:tcPr>
          <w:p w14:paraId="68832066" w14:textId="77777777" w:rsidR="00B138B3" w:rsidRPr="00CF0DF4" w:rsidRDefault="00B138B3" w:rsidP="00B138B3">
            <w:pPr>
              <w:pStyle w:val="Body-Table"/>
              <w:jc w:val="center"/>
            </w:pPr>
            <w:r w:rsidRPr="00CF0DF4">
              <w:t>341</w:t>
            </w:r>
          </w:p>
        </w:tc>
        <w:tc>
          <w:tcPr>
            <w:tcW w:w="1008" w:type="dxa"/>
            <w:shd w:val="clear" w:color="auto" w:fill="DDDDDD"/>
            <w:noWrap/>
            <w:vAlign w:val="center"/>
            <w:hideMark/>
          </w:tcPr>
          <w:p w14:paraId="097EE9DC"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64DE599D"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4120BAD2" w14:textId="77777777" w:rsidR="00B138B3" w:rsidRPr="00CF0DF4" w:rsidRDefault="00B138B3" w:rsidP="00B138B3">
            <w:pPr>
              <w:pStyle w:val="Body-Table"/>
              <w:jc w:val="center"/>
            </w:pPr>
            <w:r w:rsidRPr="00CF0DF4">
              <w:t>92</w:t>
            </w:r>
          </w:p>
        </w:tc>
      </w:tr>
      <w:tr w:rsidR="00B138B3" w:rsidRPr="00CF0DF4" w14:paraId="44FFB1CC" w14:textId="77777777" w:rsidTr="005B536D">
        <w:trPr>
          <w:trHeight w:val="20"/>
        </w:trPr>
        <w:tc>
          <w:tcPr>
            <w:tcW w:w="3024" w:type="dxa"/>
            <w:shd w:val="clear" w:color="auto" w:fill="DDDDDD"/>
            <w:noWrap/>
            <w:vAlign w:val="center"/>
            <w:hideMark/>
          </w:tcPr>
          <w:p w14:paraId="1F110689" w14:textId="77777777" w:rsidR="00B138B3" w:rsidRPr="00CF0DF4" w:rsidRDefault="00B138B3" w:rsidP="00B138B3">
            <w:pPr>
              <w:pStyle w:val="Body-Table"/>
            </w:pPr>
            <w:r w:rsidRPr="00CF0DF4">
              <w:t>OLYMPEX_Ram-Des_91RH</w:t>
            </w:r>
          </w:p>
        </w:tc>
        <w:tc>
          <w:tcPr>
            <w:tcW w:w="1440" w:type="dxa"/>
            <w:shd w:val="clear" w:color="auto" w:fill="DDDDDD"/>
          </w:tcPr>
          <w:p w14:paraId="2C87A760" w14:textId="66399F38" w:rsidR="00B138B3" w:rsidRPr="00CF0DF4" w:rsidRDefault="00B138B3" w:rsidP="00B138B3">
            <w:pPr>
              <w:pStyle w:val="Body-Table"/>
              <w:jc w:val="center"/>
            </w:pPr>
            <w:r w:rsidRPr="00CF0DF4">
              <w:t>20151114</w:t>
            </w:r>
          </w:p>
        </w:tc>
        <w:tc>
          <w:tcPr>
            <w:tcW w:w="720" w:type="dxa"/>
            <w:shd w:val="clear" w:color="auto" w:fill="DDDDDD"/>
            <w:noWrap/>
            <w:vAlign w:val="center"/>
            <w:hideMark/>
          </w:tcPr>
          <w:p w14:paraId="6B34765B" w14:textId="7F745256" w:rsidR="00B138B3" w:rsidRPr="00CF0DF4" w:rsidRDefault="00B138B3" w:rsidP="00B138B3">
            <w:pPr>
              <w:pStyle w:val="Body-Table"/>
              <w:jc w:val="center"/>
            </w:pPr>
            <w:r w:rsidRPr="00CF0DF4">
              <w:t>77738</w:t>
            </w:r>
          </w:p>
        </w:tc>
        <w:tc>
          <w:tcPr>
            <w:tcW w:w="864" w:type="dxa"/>
            <w:shd w:val="clear" w:color="auto" w:fill="DDDDDD"/>
            <w:noWrap/>
            <w:vAlign w:val="center"/>
            <w:hideMark/>
          </w:tcPr>
          <w:p w14:paraId="56AD70ED" w14:textId="77777777" w:rsidR="00B138B3" w:rsidRPr="00CF0DF4" w:rsidRDefault="00B138B3" w:rsidP="00B138B3">
            <w:pPr>
              <w:pStyle w:val="Body-Table"/>
              <w:jc w:val="center"/>
            </w:pPr>
            <w:r w:rsidRPr="00CF0DF4">
              <w:t>15</w:t>
            </w:r>
          </w:p>
        </w:tc>
        <w:tc>
          <w:tcPr>
            <w:tcW w:w="720" w:type="dxa"/>
            <w:shd w:val="clear" w:color="auto" w:fill="DDDDDD"/>
            <w:noWrap/>
            <w:vAlign w:val="center"/>
            <w:hideMark/>
          </w:tcPr>
          <w:p w14:paraId="56D21547" w14:textId="77777777" w:rsidR="00B138B3" w:rsidRPr="00CF0DF4" w:rsidRDefault="00B138B3" w:rsidP="00B138B3">
            <w:pPr>
              <w:pStyle w:val="Body-Table"/>
              <w:jc w:val="center"/>
            </w:pPr>
            <w:r w:rsidRPr="00CF0DF4">
              <w:t>65</w:t>
            </w:r>
          </w:p>
        </w:tc>
        <w:tc>
          <w:tcPr>
            <w:tcW w:w="1008" w:type="dxa"/>
            <w:shd w:val="clear" w:color="auto" w:fill="DDDDDD"/>
            <w:noWrap/>
            <w:vAlign w:val="center"/>
            <w:hideMark/>
          </w:tcPr>
          <w:p w14:paraId="5487352F"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62103798"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2331B529" w14:textId="77777777" w:rsidR="00B138B3" w:rsidRPr="00CF0DF4" w:rsidRDefault="00B138B3" w:rsidP="00B138B3">
            <w:pPr>
              <w:pStyle w:val="Body-Table"/>
              <w:jc w:val="center"/>
            </w:pPr>
            <w:r w:rsidRPr="00CF0DF4">
              <w:t>91</w:t>
            </w:r>
          </w:p>
        </w:tc>
      </w:tr>
      <w:tr w:rsidR="00B138B3" w:rsidRPr="00CF0DF4" w14:paraId="545A8319" w14:textId="77777777" w:rsidTr="005B536D">
        <w:trPr>
          <w:trHeight w:val="20"/>
        </w:trPr>
        <w:tc>
          <w:tcPr>
            <w:tcW w:w="3024" w:type="dxa"/>
            <w:shd w:val="clear" w:color="auto" w:fill="D0CECE" w:themeFill="background2" w:themeFillShade="E6"/>
            <w:noWrap/>
            <w:vAlign w:val="center"/>
            <w:hideMark/>
          </w:tcPr>
          <w:p w14:paraId="2054B907" w14:textId="77777777" w:rsidR="00B138B3" w:rsidRPr="00CF0DF4" w:rsidRDefault="00B138B3" w:rsidP="00B138B3">
            <w:pPr>
              <w:pStyle w:val="Body-Table"/>
            </w:pPr>
            <w:r w:rsidRPr="00CF0DF4">
              <w:t>MC3E_Spi-Asc_90RH</w:t>
            </w:r>
          </w:p>
        </w:tc>
        <w:tc>
          <w:tcPr>
            <w:tcW w:w="1440" w:type="dxa"/>
            <w:shd w:val="clear" w:color="auto" w:fill="D0CECE" w:themeFill="background2" w:themeFillShade="E6"/>
          </w:tcPr>
          <w:p w14:paraId="16DC0207" w14:textId="4B9E224D" w:rsidR="00B138B3" w:rsidRPr="00CF0DF4" w:rsidRDefault="00B138B3" w:rsidP="00B138B3">
            <w:pPr>
              <w:pStyle w:val="Body-Table"/>
              <w:jc w:val="center"/>
            </w:pPr>
            <w:r w:rsidRPr="00CF0DF4">
              <w:t>20110520</w:t>
            </w:r>
          </w:p>
        </w:tc>
        <w:tc>
          <w:tcPr>
            <w:tcW w:w="720" w:type="dxa"/>
            <w:shd w:val="clear" w:color="auto" w:fill="D0CECE" w:themeFill="background2" w:themeFillShade="E6"/>
            <w:noWrap/>
            <w:vAlign w:val="center"/>
            <w:hideMark/>
          </w:tcPr>
          <w:p w14:paraId="6D4AF3D1" w14:textId="52B22255" w:rsidR="00B138B3" w:rsidRPr="00CF0DF4" w:rsidRDefault="00B138B3" w:rsidP="00B138B3">
            <w:pPr>
              <w:pStyle w:val="Body-Table"/>
              <w:jc w:val="center"/>
            </w:pPr>
            <w:r w:rsidRPr="00CF0DF4">
              <w:t>48744</w:t>
            </w:r>
          </w:p>
        </w:tc>
        <w:tc>
          <w:tcPr>
            <w:tcW w:w="864" w:type="dxa"/>
            <w:shd w:val="clear" w:color="auto" w:fill="D0CECE" w:themeFill="background2" w:themeFillShade="E6"/>
            <w:noWrap/>
            <w:vAlign w:val="center"/>
            <w:hideMark/>
          </w:tcPr>
          <w:p w14:paraId="6F78948E" w14:textId="77777777" w:rsidR="00B138B3" w:rsidRPr="00CF0DF4" w:rsidRDefault="00B138B3" w:rsidP="00B138B3">
            <w:pPr>
              <w:pStyle w:val="Body-Table"/>
              <w:jc w:val="center"/>
            </w:pPr>
            <w:r w:rsidRPr="00CF0DF4">
              <w:t>84</w:t>
            </w:r>
          </w:p>
        </w:tc>
        <w:tc>
          <w:tcPr>
            <w:tcW w:w="720" w:type="dxa"/>
            <w:shd w:val="clear" w:color="auto" w:fill="D0CECE" w:themeFill="background2" w:themeFillShade="E6"/>
            <w:noWrap/>
            <w:vAlign w:val="center"/>
            <w:hideMark/>
          </w:tcPr>
          <w:p w14:paraId="7FE800B2" w14:textId="77777777" w:rsidR="00B138B3" w:rsidRPr="00CF0DF4" w:rsidRDefault="00B138B3" w:rsidP="00B138B3">
            <w:pPr>
              <w:pStyle w:val="Body-Table"/>
              <w:jc w:val="center"/>
            </w:pPr>
            <w:r w:rsidRPr="00CF0DF4">
              <w:t>525</w:t>
            </w:r>
          </w:p>
        </w:tc>
        <w:tc>
          <w:tcPr>
            <w:tcW w:w="1008" w:type="dxa"/>
            <w:shd w:val="clear" w:color="auto" w:fill="D0CECE" w:themeFill="background2" w:themeFillShade="E6"/>
            <w:noWrap/>
            <w:vAlign w:val="center"/>
            <w:hideMark/>
          </w:tcPr>
          <w:p w14:paraId="026FA946"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10BD989B"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5494324C" w14:textId="77777777" w:rsidR="00B138B3" w:rsidRPr="00CF0DF4" w:rsidRDefault="00B138B3" w:rsidP="00B138B3">
            <w:pPr>
              <w:pStyle w:val="Body-Table"/>
              <w:jc w:val="center"/>
            </w:pPr>
            <w:r w:rsidRPr="00CF0DF4">
              <w:t>90</w:t>
            </w:r>
          </w:p>
        </w:tc>
      </w:tr>
      <w:tr w:rsidR="00B138B3" w:rsidRPr="00CF0DF4" w14:paraId="44111726" w14:textId="77777777" w:rsidTr="005B536D">
        <w:trPr>
          <w:trHeight w:val="20"/>
        </w:trPr>
        <w:tc>
          <w:tcPr>
            <w:tcW w:w="3024" w:type="dxa"/>
            <w:shd w:val="clear" w:color="auto" w:fill="D0CECE" w:themeFill="background2" w:themeFillShade="E6"/>
            <w:noWrap/>
            <w:vAlign w:val="center"/>
            <w:hideMark/>
          </w:tcPr>
          <w:p w14:paraId="2F6428BB" w14:textId="77777777" w:rsidR="00B138B3" w:rsidRPr="00CF0DF4" w:rsidRDefault="00B138B3" w:rsidP="00B138B3">
            <w:pPr>
              <w:pStyle w:val="Body-Table"/>
            </w:pPr>
            <w:r w:rsidRPr="00CF0DF4">
              <w:t>GCPEX_Spi-Des_84RH</w:t>
            </w:r>
          </w:p>
        </w:tc>
        <w:tc>
          <w:tcPr>
            <w:tcW w:w="1440" w:type="dxa"/>
            <w:shd w:val="clear" w:color="auto" w:fill="D0CECE" w:themeFill="background2" w:themeFillShade="E6"/>
          </w:tcPr>
          <w:p w14:paraId="75E03327" w14:textId="0C96C096" w:rsidR="00B138B3" w:rsidRPr="00CF0DF4" w:rsidRDefault="00B138B3" w:rsidP="00B138B3">
            <w:pPr>
              <w:pStyle w:val="Body-Table"/>
              <w:jc w:val="center"/>
            </w:pPr>
            <w:r w:rsidRPr="00CF0DF4">
              <w:t>20120127</w:t>
            </w:r>
          </w:p>
        </w:tc>
        <w:tc>
          <w:tcPr>
            <w:tcW w:w="720" w:type="dxa"/>
            <w:shd w:val="clear" w:color="auto" w:fill="D0CECE" w:themeFill="background2" w:themeFillShade="E6"/>
            <w:noWrap/>
            <w:vAlign w:val="center"/>
            <w:hideMark/>
          </w:tcPr>
          <w:p w14:paraId="307B4ED3" w14:textId="1E0D0E09" w:rsidR="00B138B3" w:rsidRPr="00CF0DF4" w:rsidRDefault="00B138B3" w:rsidP="00B138B3">
            <w:pPr>
              <w:pStyle w:val="Body-Table"/>
              <w:jc w:val="center"/>
            </w:pPr>
            <w:r w:rsidRPr="00CF0DF4">
              <w:t>10827</w:t>
            </w:r>
          </w:p>
        </w:tc>
        <w:tc>
          <w:tcPr>
            <w:tcW w:w="864" w:type="dxa"/>
            <w:shd w:val="clear" w:color="auto" w:fill="D0CECE" w:themeFill="background2" w:themeFillShade="E6"/>
            <w:noWrap/>
            <w:vAlign w:val="center"/>
            <w:hideMark/>
          </w:tcPr>
          <w:p w14:paraId="058BB3AC" w14:textId="77777777" w:rsidR="00B138B3" w:rsidRPr="00CF0DF4" w:rsidRDefault="00B138B3" w:rsidP="00B138B3">
            <w:pPr>
              <w:pStyle w:val="Body-Table"/>
              <w:jc w:val="center"/>
            </w:pPr>
            <w:r w:rsidRPr="00CF0DF4">
              <w:t>60</w:t>
            </w:r>
          </w:p>
        </w:tc>
        <w:tc>
          <w:tcPr>
            <w:tcW w:w="720" w:type="dxa"/>
            <w:shd w:val="clear" w:color="auto" w:fill="D0CECE" w:themeFill="background2" w:themeFillShade="E6"/>
            <w:noWrap/>
            <w:vAlign w:val="center"/>
            <w:hideMark/>
          </w:tcPr>
          <w:p w14:paraId="5B7877BE" w14:textId="77777777" w:rsidR="00B138B3" w:rsidRPr="00CF0DF4" w:rsidRDefault="00B138B3" w:rsidP="00B138B3">
            <w:pPr>
              <w:pStyle w:val="Body-Table"/>
              <w:jc w:val="center"/>
            </w:pPr>
            <w:r w:rsidRPr="00CF0DF4">
              <w:t>179</w:t>
            </w:r>
          </w:p>
        </w:tc>
        <w:tc>
          <w:tcPr>
            <w:tcW w:w="1008" w:type="dxa"/>
            <w:shd w:val="clear" w:color="auto" w:fill="D0CECE" w:themeFill="background2" w:themeFillShade="E6"/>
            <w:noWrap/>
            <w:vAlign w:val="center"/>
            <w:hideMark/>
          </w:tcPr>
          <w:p w14:paraId="37969EF2"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285C8B79"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015F6778" w14:textId="77777777" w:rsidR="00B138B3" w:rsidRPr="00CF0DF4" w:rsidRDefault="00B138B3" w:rsidP="00B138B3">
            <w:pPr>
              <w:pStyle w:val="Body-Table"/>
              <w:jc w:val="center"/>
            </w:pPr>
            <w:r w:rsidRPr="00CF0DF4">
              <w:t>84</w:t>
            </w:r>
          </w:p>
        </w:tc>
      </w:tr>
      <w:tr w:rsidR="00B138B3" w:rsidRPr="00CF0DF4" w14:paraId="424D2F43" w14:textId="77777777" w:rsidTr="005B536D">
        <w:trPr>
          <w:trHeight w:val="20"/>
        </w:trPr>
        <w:tc>
          <w:tcPr>
            <w:tcW w:w="3024" w:type="dxa"/>
            <w:shd w:val="clear" w:color="auto" w:fill="D0CECE" w:themeFill="background2" w:themeFillShade="E6"/>
            <w:noWrap/>
            <w:vAlign w:val="center"/>
            <w:hideMark/>
          </w:tcPr>
          <w:p w14:paraId="5EB1DB41" w14:textId="77777777" w:rsidR="00B138B3" w:rsidRPr="00CF0DF4" w:rsidRDefault="00B138B3" w:rsidP="00B138B3">
            <w:pPr>
              <w:pStyle w:val="Body-Table"/>
            </w:pPr>
            <w:r w:rsidRPr="00CF0DF4">
              <w:t>MC3E_Ram-Asc_83RHa</w:t>
            </w:r>
          </w:p>
        </w:tc>
        <w:tc>
          <w:tcPr>
            <w:tcW w:w="1440" w:type="dxa"/>
            <w:shd w:val="clear" w:color="auto" w:fill="D0CECE" w:themeFill="background2" w:themeFillShade="E6"/>
          </w:tcPr>
          <w:p w14:paraId="438A2D55" w14:textId="0E670174"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683538BC" w14:textId="286B9D9C" w:rsidR="00B138B3" w:rsidRPr="00CF0DF4" w:rsidRDefault="00B138B3" w:rsidP="00B138B3">
            <w:pPr>
              <w:pStyle w:val="Body-Table"/>
              <w:jc w:val="center"/>
            </w:pPr>
            <w:r w:rsidRPr="00CF0DF4">
              <w:t>84287</w:t>
            </w:r>
          </w:p>
        </w:tc>
        <w:tc>
          <w:tcPr>
            <w:tcW w:w="864" w:type="dxa"/>
            <w:shd w:val="clear" w:color="auto" w:fill="D0CECE" w:themeFill="background2" w:themeFillShade="E6"/>
            <w:noWrap/>
            <w:vAlign w:val="center"/>
            <w:hideMark/>
          </w:tcPr>
          <w:p w14:paraId="5CCE6241" w14:textId="77777777" w:rsidR="00B138B3" w:rsidRPr="00CF0DF4" w:rsidRDefault="00B138B3" w:rsidP="00B138B3">
            <w:pPr>
              <w:pStyle w:val="Body-Table"/>
              <w:jc w:val="center"/>
            </w:pPr>
            <w:r w:rsidRPr="00CF0DF4">
              <w:t>73</w:t>
            </w:r>
          </w:p>
        </w:tc>
        <w:tc>
          <w:tcPr>
            <w:tcW w:w="720" w:type="dxa"/>
            <w:shd w:val="clear" w:color="auto" w:fill="D0CECE" w:themeFill="background2" w:themeFillShade="E6"/>
            <w:noWrap/>
            <w:vAlign w:val="center"/>
            <w:hideMark/>
          </w:tcPr>
          <w:p w14:paraId="749C4F45" w14:textId="77777777" w:rsidR="00B138B3" w:rsidRPr="00CF0DF4" w:rsidRDefault="00B138B3" w:rsidP="00B138B3">
            <w:pPr>
              <w:pStyle w:val="Body-Table"/>
              <w:jc w:val="center"/>
            </w:pPr>
            <w:r w:rsidRPr="00CF0DF4">
              <w:t>402</w:t>
            </w:r>
          </w:p>
        </w:tc>
        <w:tc>
          <w:tcPr>
            <w:tcW w:w="1008" w:type="dxa"/>
            <w:shd w:val="clear" w:color="auto" w:fill="D0CECE" w:themeFill="background2" w:themeFillShade="E6"/>
            <w:noWrap/>
            <w:vAlign w:val="center"/>
            <w:hideMark/>
          </w:tcPr>
          <w:p w14:paraId="2B9A0D58"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4FFEA56F"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771D8390" w14:textId="77777777" w:rsidR="00B138B3" w:rsidRPr="00CF0DF4" w:rsidRDefault="00B138B3" w:rsidP="00B138B3">
            <w:pPr>
              <w:pStyle w:val="Body-Table"/>
              <w:jc w:val="center"/>
            </w:pPr>
            <w:r w:rsidRPr="00CF0DF4">
              <w:t>83</w:t>
            </w:r>
          </w:p>
        </w:tc>
      </w:tr>
      <w:tr w:rsidR="00B138B3" w:rsidRPr="00CF0DF4" w14:paraId="6E03E89F" w14:textId="77777777" w:rsidTr="005B536D">
        <w:trPr>
          <w:trHeight w:val="20"/>
        </w:trPr>
        <w:tc>
          <w:tcPr>
            <w:tcW w:w="3024" w:type="dxa"/>
            <w:shd w:val="clear" w:color="auto" w:fill="D0CECE" w:themeFill="background2" w:themeFillShade="E6"/>
            <w:noWrap/>
            <w:vAlign w:val="center"/>
            <w:hideMark/>
          </w:tcPr>
          <w:p w14:paraId="261AF23C" w14:textId="77777777" w:rsidR="00B138B3" w:rsidRPr="00CF0DF4" w:rsidRDefault="00B138B3" w:rsidP="00B138B3">
            <w:pPr>
              <w:pStyle w:val="Body-Table"/>
            </w:pPr>
            <w:r w:rsidRPr="00CF0DF4">
              <w:t>MC3E_Ram-Asc_83RHb</w:t>
            </w:r>
          </w:p>
        </w:tc>
        <w:tc>
          <w:tcPr>
            <w:tcW w:w="1440" w:type="dxa"/>
            <w:shd w:val="clear" w:color="auto" w:fill="D0CECE" w:themeFill="background2" w:themeFillShade="E6"/>
          </w:tcPr>
          <w:p w14:paraId="35461C6D" w14:textId="20AF7325"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72CBB9EA" w14:textId="255B2924" w:rsidR="00B138B3" w:rsidRPr="00CF0DF4" w:rsidRDefault="00B138B3" w:rsidP="00B138B3">
            <w:pPr>
              <w:pStyle w:val="Body-Table"/>
              <w:jc w:val="center"/>
            </w:pPr>
            <w:r w:rsidRPr="00CF0DF4">
              <w:t>85126</w:t>
            </w:r>
          </w:p>
        </w:tc>
        <w:tc>
          <w:tcPr>
            <w:tcW w:w="864" w:type="dxa"/>
            <w:shd w:val="clear" w:color="auto" w:fill="D0CECE" w:themeFill="background2" w:themeFillShade="E6"/>
            <w:noWrap/>
            <w:vAlign w:val="center"/>
            <w:hideMark/>
          </w:tcPr>
          <w:p w14:paraId="0CA84936" w14:textId="77777777" w:rsidR="00B138B3" w:rsidRPr="00CF0DF4" w:rsidRDefault="00B138B3" w:rsidP="00B138B3">
            <w:pPr>
              <w:pStyle w:val="Body-Table"/>
              <w:jc w:val="center"/>
            </w:pPr>
            <w:r w:rsidRPr="00CF0DF4">
              <w:t>40</w:t>
            </w:r>
          </w:p>
        </w:tc>
        <w:tc>
          <w:tcPr>
            <w:tcW w:w="720" w:type="dxa"/>
            <w:shd w:val="clear" w:color="auto" w:fill="D0CECE" w:themeFill="background2" w:themeFillShade="E6"/>
            <w:noWrap/>
            <w:vAlign w:val="center"/>
            <w:hideMark/>
          </w:tcPr>
          <w:p w14:paraId="2F0D5231" w14:textId="77777777" w:rsidR="00B138B3" w:rsidRPr="00CF0DF4" w:rsidRDefault="00B138B3" w:rsidP="00B138B3">
            <w:pPr>
              <w:pStyle w:val="Body-Table"/>
              <w:jc w:val="center"/>
            </w:pPr>
            <w:r w:rsidRPr="00CF0DF4">
              <w:t>124</w:t>
            </w:r>
          </w:p>
        </w:tc>
        <w:tc>
          <w:tcPr>
            <w:tcW w:w="1008" w:type="dxa"/>
            <w:shd w:val="clear" w:color="auto" w:fill="D0CECE" w:themeFill="background2" w:themeFillShade="E6"/>
            <w:noWrap/>
            <w:vAlign w:val="center"/>
            <w:hideMark/>
          </w:tcPr>
          <w:p w14:paraId="2D16F6C5"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6505BCA7"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282351C0" w14:textId="77777777" w:rsidR="00B138B3" w:rsidRPr="00CF0DF4" w:rsidRDefault="00B138B3" w:rsidP="00B138B3">
            <w:pPr>
              <w:pStyle w:val="Body-Table"/>
              <w:jc w:val="center"/>
            </w:pPr>
            <w:r w:rsidRPr="00CF0DF4">
              <w:t>83</w:t>
            </w:r>
          </w:p>
        </w:tc>
      </w:tr>
      <w:tr w:rsidR="00B138B3" w:rsidRPr="00CF0DF4" w14:paraId="7DFC08F1" w14:textId="77777777" w:rsidTr="005B536D">
        <w:trPr>
          <w:trHeight w:val="20"/>
        </w:trPr>
        <w:tc>
          <w:tcPr>
            <w:tcW w:w="3024" w:type="dxa"/>
            <w:shd w:val="clear" w:color="auto" w:fill="D0CECE" w:themeFill="background2" w:themeFillShade="E6"/>
            <w:noWrap/>
            <w:vAlign w:val="center"/>
            <w:hideMark/>
          </w:tcPr>
          <w:p w14:paraId="27000C9B" w14:textId="77777777" w:rsidR="00B138B3" w:rsidRPr="00CF0DF4" w:rsidRDefault="00B138B3" w:rsidP="00B138B3">
            <w:pPr>
              <w:pStyle w:val="Body-Table"/>
            </w:pPr>
            <w:r w:rsidRPr="00CF0DF4">
              <w:t>OLYMPEX_Ram-Asc_82RH</w:t>
            </w:r>
          </w:p>
        </w:tc>
        <w:tc>
          <w:tcPr>
            <w:tcW w:w="1440" w:type="dxa"/>
            <w:shd w:val="clear" w:color="auto" w:fill="D0CECE" w:themeFill="background2" w:themeFillShade="E6"/>
          </w:tcPr>
          <w:p w14:paraId="3B170DA8" w14:textId="05E1082B" w:rsidR="00B138B3" w:rsidRPr="00CF0DF4" w:rsidRDefault="00B138B3" w:rsidP="00B138B3">
            <w:pPr>
              <w:pStyle w:val="Body-Table"/>
              <w:jc w:val="center"/>
            </w:pPr>
            <w:r w:rsidRPr="00CF0DF4">
              <w:t>20151113</w:t>
            </w:r>
          </w:p>
        </w:tc>
        <w:tc>
          <w:tcPr>
            <w:tcW w:w="720" w:type="dxa"/>
            <w:shd w:val="clear" w:color="auto" w:fill="D0CECE" w:themeFill="background2" w:themeFillShade="E6"/>
            <w:noWrap/>
            <w:vAlign w:val="center"/>
            <w:hideMark/>
          </w:tcPr>
          <w:p w14:paraId="47F05F10" w14:textId="017D32EB" w:rsidR="00B138B3" w:rsidRPr="00CF0DF4" w:rsidRDefault="00B138B3" w:rsidP="00B138B3">
            <w:pPr>
              <w:pStyle w:val="Body-Table"/>
              <w:jc w:val="center"/>
            </w:pPr>
            <w:r w:rsidRPr="00CF0DF4">
              <w:t>54743</w:t>
            </w:r>
          </w:p>
        </w:tc>
        <w:tc>
          <w:tcPr>
            <w:tcW w:w="864" w:type="dxa"/>
            <w:shd w:val="clear" w:color="auto" w:fill="D0CECE" w:themeFill="background2" w:themeFillShade="E6"/>
            <w:noWrap/>
            <w:vAlign w:val="center"/>
            <w:hideMark/>
          </w:tcPr>
          <w:p w14:paraId="6B7BD0F6" w14:textId="77777777" w:rsidR="00B138B3" w:rsidRPr="00CF0DF4" w:rsidRDefault="00B138B3" w:rsidP="00B138B3">
            <w:pPr>
              <w:pStyle w:val="Body-Table"/>
              <w:jc w:val="center"/>
            </w:pPr>
            <w:r w:rsidRPr="00CF0DF4">
              <w:t>55</w:t>
            </w:r>
          </w:p>
        </w:tc>
        <w:tc>
          <w:tcPr>
            <w:tcW w:w="720" w:type="dxa"/>
            <w:shd w:val="clear" w:color="auto" w:fill="D0CECE" w:themeFill="background2" w:themeFillShade="E6"/>
            <w:noWrap/>
            <w:vAlign w:val="center"/>
            <w:hideMark/>
          </w:tcPr>
          <w:p w14:paraId="080C59A4" w14:textId="77777777" w:rsidR="00B138B3" w:rsidRPr="00CF0DF4" w:rsidRDefault="00B138B3" w:rsidP="00B138B3">
            <w:pPr>
              <w:pStyle w:val="Body-Table"/>
              <w:jc w:val="center"/>
            </w:pPr>
            <w:r w:rsidRPr="00CF0DF4">
              <w:t>505</w:t>
            </w:r>
          </w:p>
        </w:tc>
        <w:tc>
          <w:tcPr>
            <w:tcW w:w="1008" w:type="dxa"/>
            <w:shd w:val="clear" w:color="auto" w:fill="D0CECE" w:themeFill="background2" w:themeFillShade="E6"/>
            <w:noWrap/>
            <w:vAlign w:val="center"/>
            <w:hideMark/>
          </w:tcPr>
          <w:p w14:paraId="5CD7AE2F"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59423776"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5C568368" w14:textId="77777777" w:rsidR="00B138B3" w:rsidRPr="00CF0DF4" w:rsidRDefault="00B138B3" w:rsidP="00B138B3">
            <w:pPr>
              <w:pStyle w:val="Body-Table"/>
              <w:jc w:val="center"/>
            </w:pPr>
            <w:r w:rsidRPr="00CF0DF4">
              <w:t>82</w:t>
            </w:r>
          </w:p>
        </w:tc>
      </w:tr>
      <w:tr w:rsidR="00B138B3" w:rsidRPr="00CF0DF4" w14:paraId="6AF69875" w14:textId="77777777" w:rsidTr="005B536D">
        <w:trPr>
          <w:trHeight w:val="20"/>
        </w:trPr>
        <w:tc>
          <w:tcPr>
            <w:tcW w:w="3024" w:type="dxa"/>
            <w:shd w:val="clear" w:color="auto" w:fill="D0CECE" w:themeFill="background2" w:themeFillShade="E6"/>
            <w:noWrap/>
            <w:vAlign w:val="center"/>
            <w:hideMark/>
          </w:tcPr>
          <w:p w14:paraId="48EFEF6D" w14:textId="77777777" w:rsidR="00B138B3" w:rsidRPr="00CF0DF4" w:rsidRDefault="00B138B3" w:rsidP="00B138B3">
            <w:pPr>
              <w:pStyle w:val="Body-Table"/>
            </w:pPr>
            <w:r w:rsidRPr="00CF0DF4">
              <w:t>MC3E_Ram-Des_79RH</w:t>
            </w:r>
          </w:p>
        </w:tc>
        <w:tc>
          <w:tcPr>
            <w:tcW w:w="1440" w:type="dxa"/>
            <w:shd w:val="clear" w:color="auto" w:fill="D0CECE" w:themeFill="background2" w:themeFillShade="E6"/>
          </w:tcPr>
          <w:p w14:paraId="72F9E872" w14:textId="2503162A"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37C0F566" w14:textId="25DEE4BD" w:rsidR="00B138B3" w:rsidRPr="00CF0DF4" w:rsidRDefault="00B138B3" w:rsidP="00B138B3">
            <w:pPr>
              <w:pStyle w:val="Body-Table"/>
              <w:jc w:val="center"/>
            </w:pPr>
            <w:r w:rsidRPr="00CF0DF4">
              <w:t>85034</w:t>
            </w:r>
          </w:p>
        </w:tc>
        <w:tc>
          <w:tcPr>
            <w:tcW w:w="864" w:type="dxa"/>
            <w:shd w:val="clear" w:color="auto" w:fill="D0CECE" w:themeFill="background2" w:themeFillShade="E6"/>
            <w:noWrap/>
            <w:vAlign w:val="center"/>
            <w:hideMark/>
          </w:tcPr>
          <w:p w14:paraId="00932ADE" w14:textId="77777777" w:rsidR="00B138B3" w:rsidRPr="00CF0DF4" w:rsidRDefault="00B138B3" w:rsidP="00B138B3">
            <w:pPr>
              <w:pStyle w:val="Body-Table"/>
              <w:jc w:val="center"/>
            </w:pPr>
            <w:r w:rsidRPr="00CF0DF4">
              <w:t>49</w:t>
            </w:r>
          </w:p>
        </w:tc>
        <w:tc>
          <w:tcPr>
            <w:tcW w:w="720" w:type="dxa"/>
            <w:shd w:val="clear" w:color="auto" w:fill="D0CECE" w:themeFill="background2" w:themeFillShade="E6"/>
            <w:noWrap/>
            <w:vAlign w:val="center"/>
            <w:hideMark/>
          </w:tcPr>
          <w:p w14:paraId="28E02DD6" w14:textId="77777777" w:rsidR="00B138B3" w:rsidRPr="00CF0DF4" w:rsidRDefault="00B138B3" w:rsidP="00B138B3">
            <w:pPr>
              <w:pStyle w:val="Body-Table"/>
              <w:jc w:val="center"/>
            </w:pPr>
            <w:r w:rsidRPr="00CF0DF4">
              <w:t>133</w:t>
            </w:r>
          </w:p>
        </w:tc>
        <w:tc>
          <w:tcPr>
            <w:tcW w:w="1008" w:type="dxa"/>
            <w:shd w:val="clear" w:color="auto" w:fill="D0CECE" w:themeFill="background2" w:themeFillShade="E6"/>
            <w:noWrap/>
            <w:vAlign w:val="center"/>
            <w:hideMark/>
          </w:tcPr>
          <w:p w14:paraId="3B4B4482"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5190056E"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1D2D3929" w14:textId="77777777" w:rsidR="00B138B3" w:rsidRPr="00CF0DF4" w:rsidRDefault="00B138B3" w:rsidP="00B138B3">
            <w:pPr>
              <w:pStyle w:val="Body-Table"/>
              <w:jc w:val="center"/>
            </w:pPr>
            <w:r w:rsidRPr="00CF0DF4">
              <w:t>79</w:t>
            </w:r>
          </w:p>
        </w:tc>
      </w:tr>
      <w:tr w:rsidR="00B138B3" w:rsidRPr="00CF0DF4" w14:paraId="7DD52E7F" w14:textId="77777777" w:rsidTr="005B536D">
        <w:trPr>
          <w:trHeight w:val="20"/>
        </w:trPr>
        <w:tc>
          <w:tcPr>
            <w:tcW w:w="3024" w:type="dxa"/>
            <w:shd w:val="clear" w:color="auto" w:fill="D0CECE" w:themeFill="background2" w:themeFillShade="E6"/>
            <w:noWrap/>
            <w:vAlign w:val="center"/>
            <w:hideMark/>
          </w:tcPr>
          <w:p w14:paraId="1143B40C" w14:textId="77777777" w:rsidR="00B138B3" w:rsidRPr="00CF0DF4" w:rsidRDefault="00B138B3" w:rsidP="00B138B3">
            <w:pPr>
              <w:pStyle w:val="Body-Table"/>
            </w:pPr>
            <w:r w:rsidRPr="00CF0DF4">
              <w:t>MC3E_Spi-Des_75RH</w:t>
            </w:r>
          </w:p>
        </w:tc>
        <w:tc>
          <w:tcPr>
            <w:tcW w:w="1440" w:type="dxa"/>
            <w:shd w:val="clear" w:color="auto" w:fill="D0CECE" w:themeFill="background2" w:themeFillShade="E6"/>
          </w:tcPr>
          <w:p w14:paraId="033D7384" w14:textId="02761A1C" w:rsidR="00B138B3" w:rsidRPr="00CF0DF4" w:rsidRDefault="00B138B3" w:rsidP="00B138B3">
            <w:pPr>
              <w:pStyle w:val="Body-Table"/>
              <w:jc w:val="center"/>
            </w:pPr>
            <w:r w:rsidRPr="00CF0DF4">
              <w:t>20110520</w:t>
            </w:r>
          </w:p>
        </w:tc>
        <w:tc>
          <w:tcPr>
            <w:tcW w:w="720" w:type="dxa"/>
            <w:shd w:val="clear" w:color="auto" w:fill="D0CECE" w:themeFill="background2" w:themeFillShade="E6"/>
            <w:noWrap/>
            <w:vAlign w:val="center"/>
            <w:hideMark/>
          </w:tcPr>
          <w:p w14:paraId="6D5EE76E" w14:textId="2C458CF6" w:rsidR="00B138B3" w:rsidRPr="00CF0DF4" w:rsidRDefault="00B138B3" w:rsidP="00B138B3">
            <w:pPr>
              <w:pStyle w:val="Body-Table"/>
              <w:jc w:val="center"/>
            </w:pPr>
            <w:r w:rsidRPr="00CF0DF4">
              <w:t>59542</w:t>
            </w:r>
          </w:p>
        </w:tc>
        <w:tc>
          <w:tcPr>
            <w:tcW w:w="864" w:type="dxa"/>
            <w:shd w:val="clear" w:color="auto" w:fill="D0CECE" w:themeFill="background2" w:themeFillShade="E6"/>
            <w:noWrap/>
            <w:vAlign w:val="center"/>
            <w:hideMark/>
          </w:tcPr>
          <w:p w14:paraId="6CE15434" w14:textId="77777777" w:rsidR="00B138B3" w:rsidRPr="00CF0DF4" w:rsidRDefault="00B138B3" w:rsidP="00B138B3">
            <w:pPr>
              <w:pStyle w:val="Body-Table"/>
              <w:jc w:val="center"/>
            </w:pPr>
            <w:r w:rsidRPr="00CF0DF4">
              <w:t>62</w:t>
            </w:r>
          </w:p>
        </w:tc>
        <w:tc>
          <w:tcPr>
            <w:tcW w:w="720" w:type="dxa"/>
            <w:shd w:val="clear" w:color="auto" w:fill="D0CECE" w:themeFill="background2" w:themeFillShade="E6"/>
            <w:noWrap/>
            <w:vAlign w:val="center"/>
            <w:hideMark/>
          </w:tcPr>
          <w:p w14:paraId="1B6848CD" w14:textId="77777777" w:rsidR="00B138B3" w:rsidRPr="00CF0DF4" w:rsidRDefault="00B138B3" w:rsidP="00B138B3">
            <w:pPr>
              <w:pStyle w:val="Body-Table"/>
              <w:jc w:val="center"/>
            </w:pPr>
            <w:r w:rsidRPr="00CF0DF4">
              <w:t>311</w:t>
            </w:r>
          </w:p>
        </w:tc>
        <w:tc>
          <w:tcPr>
            <w:tcW w:w="1008" w:type="dxa"/>
            <w:shd w:val="clear" w:color="auto" w:fill="D0CECE" w:themeFill="background2" w:themeFillShade="E6"/>
            <w:noWrap/>
            <w:vAlign w:val="center"/>
            <w:hideMark/>
          </w:tcPr>
          <w:p w14:paraId="0ABDA855"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28EF7FC6"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07059FEE" w14:textId="77777777" w:rsidR="00B138B3" w:rsidRPr="00CF0DF4" w:rsidRDefault="00B138B3" w:rsidP="00B138B3">
            <w:pPr>
              <w:pStyle w:val="Body-Table"/>
              <w:jc w:val="center"/>
            </w:pPr>
            <w:r w:rsidRPr="00CF0DF4">
              <w:t>75</w:t>
            </w:r>
          </w:p>
        </w:tc>
      </w:tr>
      <w:tr w:rsidR="00B138B3" w:rsidRPr="00CF0DF4" w14:paraId="657877D4" w14:textId="77777777" w:rsidTr="005B536D">
        <w:trPr>
          <w:trHeight w:val="20"/>
        </w:trPr>
        <w:tc>
          <w:tcPr>
            <w:tcW w:w="3024" w:type="dxa"/>
            <w:shd w:val="clear" w:color="auto" w:fill="D0CECE" w:themeFill="background2" w:themeFillShade="E6"/>
            <w:noWrap/>
            <w:vAlign w:val="center"/>
            <w:hideMark/>
          </w:tcPr>
          <w:p w14:paraId="7665B173" w14:textId="77777777" w:rsidR="00B138B3" w:rsidRPr="00CF0DF4" w:rsidRDefault="00B138B3" w:rsidP="00B138B3">
            <w:pPr>
              <w:pStyle w:val="Body-Table"/>
            </w:pPr>
            <w:r w:rsidRPr="00CF0DF4">
              <w:t>GCPEX_Ram-Des_71RH</w:t>
            </w:r>
          </w:p>
        </w:tc>
        <w:tc>
          <w:tcPr>
            <w:tcW w:w="1440" w:type="dxa"/>
            <w:shd w:val="clear" w:color="auto" w:fill="D0CECE" w:themeFill="background2" w:themeFillShade="E6"/>
          </w:tcPr>
          <w:p w14:paraId="14A26B2F" w14:textId="07D45747" w:rsidR="00B138B3" w:rsidRPr="00CF0DF4" w:rsidRDefault="00B138B3" w:rsidP="00B138B3">
            <w:pPr>
              <w:pStyle w:val="Body-Table"/>
              <w:jc w:val="center"/>
            </w:pPr>
            <w:r w:rsidRPr="00CF0DF4">
              <w:t>20120127</w:t>
            </w:r>
          </w:p>
        </w:tc>
        <w:tc>
          <w:tcPr>
            <w:tcW w:w="720" w:type="dxa"/>
            <w:shd w:val="clear" w:color="auto" w:fill="D0CECE" w:themeFill="background2" w:themeFillShade="E6"/>
            <w:noWrap/>
            <w:vAlign w:val="center"/>
            <w:hideMark/>
          </w:tcPr>
          <w:p w14:paraId="36557799" w14:textId="5EF914DE" w:rsidR="00B138B3" w:rsidRPr="00CF0DF4" w:rsidRDefault="00B138B3" w:rsidP="00B138B3">
            <w:pPr>
              <w:pStyle w:val="Body-Table"/>
              <w:jc w:val="center"/>
            </w:pPr>
            <w:r w:rsidRPr="00CF0DF4">
              <w:t>19188</w:t>
            </w:r>
          </w:p>
        </w:tc>
        <w:tc>
          <w:tcPr>
            <w:tcW w:w="864" w:type="dxa"/>
            <w:shd w:val="clear" w:color="auto" w:fill="D0CECE" w:themeFill="background2" w:themeFillShade="E6"/>
            <w:noWrap/>
            <w:vAlign w:val="center"/>
            <w:hideMark/>
          </w:tcPr>
          <w:p w14:paraId="07D9F4F0" w14:textId="77777777" w:rsidR="00B138B3" w:rsidRPr="00CF0DF4" w:rsidRDefault="00B138B3" w:rsidP="00B138B3">
            <w:pPr>
              <w:pStyle w:val="Body-Table"/>
              <w:jc w:val="center"/>
            </w:pPr>
            <w:r w:rsidRPr="00CF0DF4">
              <w:t>38</w:t>
            </w:r>
          </w:p>
        </w:tc>
        <w:tc>
          <w:tcPr>
            <w:tcW w:w="720" w:type="dxa"/>
            <w:shd w:val="clear" w:color="auto" w:fill="D0CECE" w:themeFill="background2" w:themeFillShade="E6"/>
            <w:noWrap/>
            <w:vAlign w:val="center"/>
            <w:hideMark/>
          </w:tcPr>
          <w:p w14:paraId="4F96522F" w14:textId="77777777" w:rsidR="00B138B3" w:rsidRPr="00CF0DF4" w:rsidRDefault="00B138B3" w:rsidP="00B138B3">
            <w:pPr>
              <w:pStyle w:val="Body-Table"/>
              <w:jc w:val="center"/>
            </w:pPr>
            <w:r w:rsidRPr="00CF0DF4">
              <w:t>295</w:t>
            </w:r>
          </w:p>
        </w:tc>
        <w:tc>
          <w:tcPr>
            <w:tcW w:w="1008" w:type="dxa"/>
            <w:shd w:val="clear" w:color="auto" w:fill="D0CECE" w:themeFill="background2" w:themeFillShade="E6"/>
            <w:noWrap/>
            <w:vAlign w:val="center"/>
            <w:hideMark/>
          </w:tcPr>
          <w:p w14:paraId="54DBBB5A"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0CAF4337"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3AB24E73" w14:textId="77777777" w:rsidR="00B138B3" w:rsidRPr="00CF0DF4" w:rsidRDefault="00B138B3" w:rsidP="00B138B3">
            <w:pPr>
              <w:pStyle w:val="Body-Table"/>
              <w:jc w:val="center"/>
            </w:pPr>
            <w:r w:rsidRPr="00CF0DF4">
              <w:t>71</w:t>
            </w:r>
          </w:p>
        </w:tc>
      </w:tr>
      <w:tr w:rsidR="00B138B3" w:rsidRPr="00CF0DF4" w14:paraId="5A0D5FE8" w14:textId="77777777" w:rsidTr="005B536D">
        <w:trPr>
          <w:trHeight w:val="20"/>
        </w:trPr>
        <w:tc>
          <w:tcPr>
            <w:tcW w:w="3024" w:type="dxa"/>
            <w:shd w:val="clear" w:color="auto" w:fill="D0CECE" w:themeFill="background2" w:themeFillShade="E6"/>
            <w:noWrap/>
            <w:vAlign w:val="center"/>
            <w:hideMark/>
          </w:tcPr>
          <w:p w14:paraId="5999E8FD" w14:textId="77777777" w:rsidR="00B138B3" w:rsidRPr="00CF0DF4" w:rsidRDefault="00B138B3" w:rsidP="00B138B3">
            <w:pPr>
              <w:pStyle w:val="Body-Table"/>
            </w:pPr>
            <w:r w:rsidRPr="00CF0DF4">
              <w:t>MC3E_Spi-Des_63RH</w:t>
            </w:r>
          </w:p>
        </w:tc>
        <w:tc>
          <w:tcPr>
            <w:tcW w:w="1440" w:type="dxa"/>
            <w:shd w:val="clear" w:color="auto" w:fill="D0CECE" w:themeFill="background2" w:themeFillShade="E6"/>
          </w:tcPr>
          <w:p w14:paraId="1588988E" w14:textId="7824ED9F"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008C1E1C" w14:textId="21E62791" w:rsidR="00B138B3" w:rsidRPr="00CF0DF4" w:rsidRDefault="00B138B3" w:rsidP="00B138B3">
            <w:pPr>
              <w:pStyle w:val="Body-Table"/>
              <w:jc w:val="center"/>
            </w:pPr>
            <w:r w:rsidRPr="00CF0DF4">
              <w:t>82885</w:t>
            </w:r>
          </w:p>
        </w:tc>
        <w:tc>
          <w:tcPr>
            <w:tcW w:w="864" w:type="dxa"/>
            <w:shd w:val="clear" w:color="auto" w:fill="D0CECE" w:themeFill="background2" w:themeFillShade="E6"/>
            <w:noWrap/>
            <w:vAlign w:val="center"/>
            <w:hideMark/>
          </w:tcPr>
          <w:p w14:paraId="1A6BD6BD" w14:textId="77777777" w:rsidR="00B138B3" w:rsidRPr="00CF0DF4" w:rsidRDefault="00B138B3" w:rsidP="00B138B3">
            <w:pPr>
              <w:pStyle w:val="Body-Table"/>
              <w:jc w:val="center"/>
            </w:pPr>
            <w:r w:rsidRPr="00CF0DF4">
              <w:t>113</w:t>
            </w:r>
          </w:p>
        </w:tc>
        <w:tc>
          <w:tcPr>
            <w:tcW w:w="720" w:type="dxa"/>
            <w:shd w:val="clear" w:color="auto" w:fill="D0CECE" w:themeFill="background2" w:themeFillShade="E6"/>
            <w:noWrap/>
            <w:vAlign w:val="center"/>
            <w:hideMark/>
          </w:tcPr>
          <w:p w14:paraId="3619DDD7" w14:textId="77777777" w:rsidR="00B138B3" w:rsidRPr="00CF0DF4" w:rsidRDefault="00B138B3" w:rsidP="00B138B3">
            <w:pPr>
              <w:pStyle w:val="Body-Table"/>
              <w:jc w:val="center"/>
            </w:pPr>
            <w:r w:rsidRPr="00CF0DF4">
              <w:t>383</w:t>
            </w:r>
          </w:p>
        </w:tc>
        <w:tc>
          <w:tcPr>
            <w:tcW w:w="1008" w:type="dxa"/>
            <w:shd w:val="clear" w:color="auto" w:fill="D0CECE" w:themeFill="background2" w:themeFillShade="E6"/>
            <w:noWrap/>
            <w:vAlign w:val="center"/>
            <w:hideMark/>
          </w:tcPr>
          <w:p w14:paraId="19604388"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1D0B800A"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5D3BCBFC" w14:textId="77777777" w:rsidR="00B138B3" w:rsidRPr="00CF0DF4" w:rsidRDefault="00B138B3" w:rsidP="00B138B3">
            <w:pPr>
              <w:pStyle w:val="Body-Table"/>
              <w:jc w:val="center"/>
            </w:pPr>
            <w:r w:rsidRPr="00CF0DF4">
              <w:t>63</w:t>
            </w:r>
          </w:p>
        </w:tc>
      </w:tr>
    </w:tbl>
    <w:p w14:paraId="4E252D8F" w14:textId="77777777" w:rsidR="00317ACF" w:rsidRPr="00CF0DF4" w:rsidRDefault="00317ACF" w:rsidP="00317ACF">
      <w:pPr>
        <w:pStyle w:val="Heading2"/>
        <w:rPr>
          <w:lang w:val="en-US"/>
        </w:rPr>
      </w:pPr>
      <w:bookmarkStart w:id="77" w:name="_Toc109123106"/>
      <w:r w:rsidRPr="00CF0DF4">
        <w:rPr>
          <w:lang w:val="en-US"/>
        </w:rPr>
        <w:lastRenderedPageBreak/>
        <w:t>4.2 Saturated Melting Layers</w:t>
      </w:r>
      <w:bookmarkEnd w:id="77"/>
    </w:p>
    <w:p w14:paraId="03519E78" w14:textId="70593125" w:rsidR="00317ACF" w:rsidRPr="00CF0DF4" w:rsidRDefault="00317ACF" w:rsidP="00317ACF">
      <w:pPr>
        <w:pStyle w:val="Body"/>
        <w:rPr>
          <w:lang w:val="en-US"/>
        </w:rPr>
      </w:pPr>
      <w:r w:rsidRPr="00CF0DF4">
        <w:rPr>
          <w:lang w:val="en-US"/>
        </w:rPr>
        <w:t xml:space="preserve">The OLYMPEX_Ram_Des_100RH case is representative of the </w:t>
      </w:r>
      <w:r w:rsidR="006441A9">
        <w:rPr>
          <w:lang w:val="en-US"/>
        </w:rPr>
        <w:t xml:space="preserve">seven </w:t>
      </w:r>
      <w:r w:rsidRPr="00CF0DF4">
        <w:rPr>
          <w:lang w:val="en-US"/>
        </w:rPr>
        <w:t>100 percent relative humidity cases with no quasi-isothermal layer near the melting layer top (</w:t>
      </w:r>
      <w:r w:rsidRPr="00CF0DF4">
        <w:rPr>
          <w:lang w:val="en-US"/>
        </w:rPr>
        <w:fldChar w:fldCharType="begin"/>
      </w:r>
      <w:r w:rsidRPr="00CF0DF4">
        <w:rPr>
          <w:lang w:val="en-US"/>
        </w:rPr>
        <w:instrText xml:space="preserve"> REF _Ref102216178 \h </w:instrText>
      </w:r>
      <w:r w:rsidRPr="00CF0DF4">
        <w:rPr>
          <w:lang w:val="en-US"/>
        </w:rPr>
      </w:r>
      <w:r w:rsidRPr="00CF0DF4">
        <w:rPr>
          <w:lang w:val="en-US"/>
        </w:rPr>
        <w:fldChar w:fldCharType="separate"/>
      </w:r>
      <w:r w:rsidR="00DB4BE3" w:rsidRPr="00CF0DF4">
        <w:t xml:space="preserve">Figure </w:t>
      </w:r>
      <w:r w:rsidR="00DB4BE3">
        <w:rPr>
          <w:noProof/>
        </w:rPr>
        <w:t>5</w:t>
      </w:r>
      <w:r w:rsidRPr="00CF0DF4">
        <w:rPr>
          <w:lang w:val="en-US"/>
        </w:rPr>
        <w:fldChar w:fldCharType="end"/>
      </w:r>
      <w:r w:rsidRPr="00CF0DF4">
        <w:rPr>
          <w:lang w:val="en-US"/>
        </w:rPr>
        <w:t xml:space="preserve">). The </w:t>
      </w:r>
      <w:r w:rsidR="00781424">
        <w:rPr>
          <w:lang w:val="en-US"/>
        </w:rPr>
        <w:t>hydrometeor</w:t>
      </w:r>
      <w:r w:rsidRPr="00CF0DF4">
        <w:rPr>
          <w:lang w:val="en-US"/>
        </w:rPr>
        <w:t xml:space="preserve"> concentrations are relatively high above the melting layer top, while the area ratio is small (&lt; 0.5) for </w:t>
      </w:r>
      <w:r w:rsidR="00781424">
        <w:rPr>
          <w:lang w:val="en-US"/>
        </w:rPr>
        <w:t>hydrometeor</w:t>
      </w:r>
      <w:r w:rsidRPr="00CF0DF4">
        <w:rPr>
          <w:lang w:val="en-US"/>
        </w:rPr>
        <w:t xml:space="preserve"> above 40</w:t>
      </w:r>
      <w:r w:rsidRPr="00CF0DF4">
        <w:rPr>
          <w:rFonts w:eastAsia="Times New Roman" w:cs="Times New Roman"/>
          <w:lang w:val="en-US"/>
        </w:rPr>
        <w:t>0 µm (</w:t>
      </w:r>
      <w:r w:rsidRPr="00CF0DF4">
        <w:rPr>
          <w:rFonts w:eastAsia="Times New Roman" w:cs="Times New Roman"/>
          <w:lang w:val="en-US"/>
        </w:rPr>
        <w:fldChar w:fldCharType="begin"/>
      </w:r>
      <w:r w:rsidRPr="00CF0DF4">
        <w:rPr>
          <w:rFonts w:eastAsia="Times New Roman" w:cs="Times New Roman"/>
          <w:lang w:val="en-US"/>
        </w:rPr>
        <w:instrText xml:space="preserve"> REF _Ref107235029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11</w:t>
      </w:r>
      <w:r w:rsidRPr="00CF0DF4">
        <w:rPr>
          <w:rFonts w:eastAsia="Times New Roman" w:cs="Times New Roman"/>
          <w:lang w:val="en-US"/>
        </w:rPr>
        <w:fldChar w:fldCharType="end"/>
      </w:r>
      <w:r w:rsidRPr="00CF0DF4">
        <w:rPr>
          <w:rFonts w:eastAsia="Times New Roman" w:cs="Times New Roman"/>
          <w:lang w:val="en-US"/>
        </w:rPr>
        <w:t xml:space="preserve">). Interestingly, the area ratio of smaller </w:t>
      </w:r>
      <w:r w:rsidR="00781424">
        <w:rPr>
          <w:rFonts w:eastAsia="Times New Roman" w:cs="Times New Roman"/>
          <w:lang w:val="en-US"/>
        </w:rPr>
        <w:t>hydrometeors</w:t>
      </w:r>
      <w:r w:rsidRPr="00CF0DF4">
        <w:rPr>
          <w:rFonts w:eastAsia="Times New Roman" w:cs="Times New Roman"/>
          <w:lang w:val="en-US"/>
        </w:rPr>
        <w:t xml:space="preserve"> </w:t>
      </w:r>
      <w:r w:rsidR="0059789E">
        <w:rPr>
          <w:rFonts w:eastAsia="Times New Roman" w:cs="Times New Roman"/>
          <w:lang w:val="en-US"/>
        </w:rPr>
        <w:t>starts</w:t>
      </w:r>
      <w:r w:rsidRPr="00CF0DF4">
        <w:rPr>
          <w:rFonts w:eastAsia="Times New Roman" w:cs="Times New Roman"/>
          <w:lang w:val="en-US"/>
        </w:rPr>
        <w:t xml:space="preserve"> to increase just above the meltin</w:t>
      </w:r>
      <w:r w:rsidRPr="00CF0DF4">
        <w:rPr>
          <w:lang w:val="en-US"/>
        </w:rPr>
        <w:t>g layer, which is not expected until just after melting begins. There is a</w:t>
      </w:r>
      <w:r w:rsidR="00683921" w:rsidRPr="00CF0DF4">
        <w:rPr>
          <w:lang w:val="en-US"/>
        </w:rPr>
        <w:t xml:space="preserve">n increase in maximum </w:t>
      </w:r>
      <w:r w:rsidR="00781424">
        <w:rPr>
          <w:lang w:val="en-US"/>
        </w:rPr>
        <w:t>hydrometeor</w:t>
      </w:r>
      <w:r w:rsidR="00683921" w:rsidRPr="00CF0DF4">
        <w:rPr>
          <w:lang w:val="en-US"/>
        </w:rPr>
        <w:t xml:space="preserve"> </w:t>
      </w:r>
      <w:r w:rsidRPr="00CF0DF4">
        <w:rPr>
          <w:lang w:val="en-US"/>
        </w:rPr>
        <w:t xml:space="preserve">diameter at 5,000 µm approximately 30 m below the melting layer top, in which </w:t>
      </w:r>
      <w:r w:rsidR="00781424">
        <w:rPr>
          <w:lang w:val="en-US"/>
        </w:rPr>
        <w:t>hydrometeors</w:t>
      </w:r>
      <w:r w:rsidRPr="00CF0DF4">
        <w:rPr>
          <w:lang w:val="en-US"/>
        </w:rPr>
        <w:t xml:space="preserve"> 1,100 µm and larger have a smaller area ratio of 0.6 and lower. The low area ratio suggests that the larger </w:t>
      </w:r>
      <w:r w:rsidR="00781424">
        <w:rPr>
          <w:lang w:val="en-US"/>
        </w:rPr>
        <w:t>hydrometeors</w:t>
      </w:r>
      <w:r w:rsidRPr="00CF0DF4">
        <w:rPr>
          <w:lang w:val="en-US"/>
        </w:rPr>
        <w:t xml:space="preserve"> in the melting layer are not very round. By approximately 50 m below the melting layer top, area ratio increases for the larger </w:t>
      </w:r>
      <w:r w:rsidR="00781424">
        <w:rPr>
          <w:lang w:val="en-US"/>
        </w:rPr>
        <w:t>hydrometeors</w:t>
      </w:r>
      <w:r w:rsidRPr="00CF0DF4">
        <w:rPr>
          <w:lang w:val="en-US"/>
        </w:rPr>
        <w:t xml:space="preserve"> to 0.8 and the maximum diameter decreases to 3,000 µm. Below the melting layer bottom, area ratio is consistently high for </w:t>
      </w:r>
      <w:r w:rsidR="00781424">
        <w:rPr>
          <w:lang w:val="en-US"/>
        </w:rPr>
        <w:t>hydrometeors</w:t>
      </w:r>
      <w:r w:rsidRPr="00CF0DF4">
        <w:rPr>
          <w:lang w:val="en-US"/>
        </w:rPr>
        <w:t xml:space="preserve"> as they are round.</w:t>
      </w:r>
    </w:p>
    <w:p w14:paraId="6D391B10"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7FEBDC73" wp14:editId="16752AE8">
            <wp:extent cx="5895975" cy="2830570"/>
            <wp:effectExtent l="0" t="0" r="0" b="825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42D01ADE" w14:textId="6ECFFA4E" w:rsidR="00317ACF" w:rsidRPr="00CF0DF4" w:rsidRDefault="00317ACF" w:rsidP="00317ACF">
      <w:pPr>
        <w:pStyle w:val="Caption-Figure"/>
      </w:pPr>
      <w:bookmarkStart w:id="78" w:name="_Ref107235029"/>
      <w:bookmarkStart w:id="79" w:name="_Ref107222452"/>
      <w:bookmarkStart w:id="80" w:name="_Toc109123124"/>
      <w:r w:rsidRPr="00CF0DF4">
        <w:t xml:space="preserve">Figure </w:t>
      </w:r>
      <w:r w:rsidR="00000000">
        <w:fldChar w:fldCharType="begin"/>
      </w:r>
      <w:r w:rsidR="00000000">
        <w:instrText xml:space="preserve"> SEQ Figure \* ARABIC </w:instrText>
      </w:r>
      <w:r w:rsidR="00000000">
        <w:fldChar w:fldCharType="separate"/>
      </w:r>
      <w:r w:rsidR="00DB4BE3">
        <w:rPr>
          <w:noProof/>
        </w:rPr>
        <w:t>11</w:t>
      </w:r>
      <w:r w:rsidR="00000000">
        <w:rPr>
          <w:noProof/>
        </w:rPr>
        <w:fldChar w:fldCharType="end"/>
      </w:r>
      <w:bookmarkEnd w:id="78"/>
      <w:r w:rsidRPr="00CF0DF4">
        <w:t xml:space="preserve">: Plots showing </w:t>
      </w:r>
      <w:r w:rsidR="00781424">
        <w:t>hydrometeor</w:t>
      </w:r>
      <w:r w:rsidRPr="00CF0DF4">
        <w:t xml:space="preserve"> concentration (left) and area ratio (right) through the melting layer during the OLYMPEX_Ram_Des_100RH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 xml:space="preserve">. The </w:t>
      </w:r>
      <w:proofErr w:type="gramStart"/>
      <w:r w:rsidRPr="00CF0DF4">
        <w:t>High Volume</w:t>
      </w:r>
      <w:proofErr w:type="gramEnd"/>
      <w:r w:rsidRPr="00CF0DF4">
        <w:t xml:space="preserve"> Precipitation Spectrometer Version 3 (HVPS3) </w:t>
      </w:r>
      <w:r w:rsidR="00F34771" w:rsidRPr="00CF0DF4">
        <w:t xml:space="preserve">probe </w:t>
      </w:r>
      <w:r w:rsidRPr="00CF0DF4">
        <w:t xml:space="preserve">measurements are from 1 s spectra, whereas measurements of relative humidity with respect to water (RH) are 5 s averages. </w:t>
      </w:r>
      <w:r w:rsidRPr="00CF0DF4">
        <w:rPr>
          <w:rFonts w:eastAsia="Times New Roman" w:cs="Times New Roman"/>
        </w:rPr>
        <w:t xml:space="preserve">Horizontal black </w:t>
      </w:r>
      <w:r w:rsidRPr="00CF0DF4">
        <w:rPr>
          <w:rFonts w:eastAsia="Times New Roman" w:cs="Times New Roman"/>
        </w:rPr>
        <w:lastRenderedPageBreak/>
        <w:t>lines depict the time and altitude of the 0 °C air temperature (T) isotherm, melting layer top at the 0 °C ice-bulb temperature (T</w:t>
      </w:r>
      <w:r w:rsidRPr="00CF0DF4">
        <w:rPr>
          <w:rFonts w:eastAsia="Times New Roman" w:cs="Times New Roman"/>
          <w:vertAlign w:val="subscript"/>
        </w:rPr>
        <w:t>IB</w:t>
      </w:r>
      <w:r w:rsidRPr="00CF0DF4">
        <w:rPr>
          <w:rFonts w:eastAsia="Times New Roman" w:cs="Times New Roman"/>
        </w:rPr>
        <w:t xml:space="preserve">) isotherm, and the melting layer bottom where all </w:t>
      </w:r>
      <w:r w:rsidR="00781424">
        <w:rPr>
          <w:rFonts w:eastAsia="Times New Roman" w:cs="Times New Roman"/>
        </w:rPr>
        <w:t>hydrometeors</w:t>
      </w:r>
      <w:r w:rsidRPr="00CF0DF4">
        <w:rPr>
          <w:rFonts w:eastAsia="Times New Roman" w:cs="Times New Roman"/>
        </w:rPr>
        <w:t xml:space="preserve"> are ‘melted’.</w:t>
      </w:r>
      <w:r w:rsidRPr="00CF0DF4">
        <w:t xml:space="preserve"> Altitude is shown on the righ</w:t>
      </w:r>
      <w:r w:rsidRPr="00CF0DF4">
        <w:rPr>
          <w:rFonts w:eastAsia="Times New Roman" w:cs="Times New Roman"/>
        </w:rPr>
        <w:t xml:space="preserve">t y-axis that corresponds with every time tick on the left y-axis. </w:t>
      </w:r>
      <w:r w:rsidRPr="00CF0DF4">
        <w:t xml:space="preserve">Concentration (left) is colored on a logarithmic scale, while area ratio (right) is colored on a linear scale. </w:t>
      </w:r>
      <w:r w:rsidR="00781424">
        <w:t>Hydrometeor</w:t>
      </w:r>
      <w:r w:rsidRPr="00CF0DF4">
        <w:t xml:space="preserve"> diameter on the bottom x-axis is plotted on a logarithmic scale, based on the HVPS3 bins defined in </w:t>
      </w:r>
      <w:r w:rsidRPr="00CF0DF4">
        <w:fldChar w:fldCharType="begin"/>
      </w:r>
      <w:r w:rsidRPr="00CF0DF4">
        <w:instrText xml:space="preserve"> REF _Ref103885783 \h </w:instrText>
      </w:r>
      <w:r w:rsidRPr="00CF0DF4">
        <w:fldChar w:fldCharType="separate"/>
      </w:r>
      <w:r w:rsidR="00DB4BE3" w:rsidRPr="00CF0DF4">
        <w:t xml:space="preserve">Table </w:t>
      </w:r>
      <w:r w:rsidR="00DB4BE3">
        <w:rPr>
          <w:noProof/>
        </w:rPr>
        <w:t>2</w:t>
      </w:r>
      <w:r w:rsidRPr="00CF0DF4">
        <w:fldChar w:fldCharType="end"/>
      </w:r>
      <w:r w:rsidRPr="00CF0DF4">
        <w:t>.</w:t>
      </w:r>
      <w:bookmarkEnd w:id="79"/>
      <w:bookmarkEnd w:id="80"/>
    </w:p>
    <w:p w14:paraId="44A39056" w14:textId="6DE6ECED" w:rsidR="00317ACF" w:rsidRPr="00CF0DF4" w:rsidRDefault="00317ACF" w:rsidP="00317ACF">
      <w:pPr>
        <w:pStyle w:val="Body"/>
        <w:rPr>
          <w:rFonts w:eastAsia="Times New Roman" w:cs="Times New Roman"/>
          <w:lang w:val="en-US"/>
        </w:rPr>
      </w:pPr>
      <w:r w:rsidRPr="00CF0DF4">
        <w:rPr>
          <w:lang w:val="en-US"/>
        </w:rPr>
        <w:t>The exponential fit of the HVPS3 size distribution for OLYMPEX_Ram_Des_100RH (</w:t>
      </w:r>
      <w:r w:rsidRPr="00CF0DF4">
        <w:rPr>
          <w:lang w:val="en-US"/>
        </w:rPr>
        <w:fldChar w:fldCharType="begin"/>
      </w:r>
      <w:r w:rsidRPr="00CF0DF4">
        <w:rPr>
          <w:lang w:val="en-US"/>
        </w:rPr>
        <w:instrText xml:space="preserve"> REF _Ref105171908 \h </w:instrText>
      </w:r>
      <w:r w:rsidRPr="00CF0DF4">
        <w:rPr>
          <w:lang w:val="en-US"/>
        </w:rPr>
      </w:r>
      <w:r w:rsidRPr="00CF0DF4">
        <w:rPr>
          <w:lang w:val="en-US"/>
        </w:rPr>
        <w:fldChar w:fldCharType="separate"/>
      </w:r>
      <w:r w:rsidR="00DB4BE3" w:rsidRPr="00CF0DF4">
        <w:t xml:space="preserve">Figure </w:t>
      </w:r>
      <w:r w:rsidR="00DB4BE3">
        <w:rPr>
          <w:noProof/>
        </w:rPr>
        <w:t>12</w:t>
      </w:r>
      <w:r w:rsidRPr="00CF0DF4">
        <w:rPr>
          <w:lang w:val="en-US"/>
        </w:rPr>
        <w:fldChar w:fldCharType="end"/>
      </w:r>
      <w:r w:rsidRPr="00CF0DF4">
        <w:rPr>
          <w:lang w:val="en-US"/>
        </w:rPr>
        <w:t xml:space="preserve">) has three peaks in both fit parameters: one just above the melting layer bottom, one just below the melting layer bottom, and a final one about 200 m below the melting layer bottom. These spikes are due to a couple orders </w:t>
      </w:r>
      <w:r w:rsidRPr="00CF0DF4">
        <w:rPr>
          <w:rFonts w:eastAsia="Times New Roman" w:cs="Times New Roman"/>
          <w:lang w:val="en-US"/>
        </w:rPr>
        <w:t xml:space="preserve">of magnitude increase in </w:t>
      </w:r>
      <w:r w:rsidR="00781424">
        <w:rPr>
          <w:rFonts w:eastAsia="Times New Roman" w:cs="Times New Roman"/>
          <w:lang w:val="en-US"/>
        </w:rPr>
        <w:t>hydrometeor</w:t>
      </w:r>
      <w:r w:rsidRPr="00CF0DF4">
        <w:rPr>
          <w:rFonts w:eastAsia="Times New Roman" w:cs="Times New Roman"/>
          <w:lang w:val="en-US"/>
        </w:rPr>
        <w:t xml:space="preserve"> concentration for </w:t>
      </w:r>
      <w:r w:rsidR="00781424">
        <w:rPr>
          <w:rFonts w:eastAsia="Times New Roman" w:cs="Times New Roman"/>
          <w:lang w:val="en-US"/>
        </w:rPr>
        <w:t>hydrometeors</w:t>
      </w:r>
      <w:r w:rsidRPr="00CF0DF4">
        <w:rPr>
          <w:rFonts w:eastAsia="Times New Roman" w:cs="Times New Roman"/>
          <w:lang w:val="en-US"/>
        </w:rPr>
        <w:t xml:space="preserve"> around 400 µm to 600 µm (</w:t>
      </w:r>
      <w:r w:rsidRPr="00CF0DF4">
        <w:rPr>
          <w:rFonts w:eastAsia="Times New Roman" w:cs="Times New Roman"/>
          <w:lang w:val="en-US"/>
        </w:rPr>
        <w:fldChar w:fldCharType="begin"/>
      </w:r>
      <w:r w:rsidRPr="00CF0DF4">
        <w:rPr>
          <w:rFonts w:eastAsia="Times New Roman" w:cs="Times New Roman"/>
          <w:lang w:val="en-US"/>
        </w:rPr>
        <w:instrText xml:space="preserve"> REF _Ref107235029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11</w:t>
      </w:r>
      <w:r w:rsidRPr="00CF0DF4">
        <w:rPr>
          <w:rFonts w:eastAsia="Times New Roman" w:cs="Times New Roman"/>
          <w:lang w:val="en-US"/>
        </w:rPr>
        <w:fldChar w:fldCharType="end"/>
      </w:r>
      <w:r w:rsidRPr="00CF0DF4">
        <w:rPr>
          <w:rFonts w:eastAsia="Times New Roman" w:cs="Times New Roman"/>
          <w:lang w:val="en-US"/>
        </w:rPr>
        <w:t>), which greatly influences both parameters. Neglecting the spikes, both parameters are smallest above the melting layer and largest below the melting layer. The parameters are only slightly smaller in the melting layer compared to below, as there is a rapid transition at the melting layer to the top where maximum diameter decreases</w:t>
      </w:r>
      <w:r w:rsidRPr="00CF0DF4">
        <w:rPr>
          <w:lang w:val="en-US"/>
        </w:rPr>
        <w:t>.</w:t>
      </w:r>
    </w:p>
    <w:p w14:paraId="51E51D57"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27FBB4F7" wp14:editId="7E5A216C">
            <wp:extent cx="5905500" cy="5000625"/>
            <wp:effectExtent l="0" t="0" r="0" b="952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5000625"/>
                    </a:xfrm>
                    <a:prstGeom prst="rect">
                      <a:avLst/>
                    </a:prstGeom>
                    <a:noFill/>
                    <a:ln>
                      <a:noFill/>
                    </a:ln>
                  </pic:spPr>
                </pic:pic>
              </a:graphicData>
            </a:graphic>
          </wp:inline>
        </w:drawing>
      </w:r>
    </w:p>
    <w:p w14:paraId="5DA3743C" w14:textId="1E5F7FFC" w:rsidR="00317ACF" w:rsidRPr="00CF0DF4" w:rsidRDefault="00317ACF" w:rsidP="00317ACF">
      <w:pPr>
        <w:pStyle w:val="Caption-Figure"/>
      </w:pPr>
      <w:bookmarkStart w:id="81" w:name="_Ref105171908"/>
      <w:bookmarkStart w:id="82" w:name="_Toc109123125"/>
      <w:r w:rsidRPr="00CF0DF4">
        <w:t xml:space="preserve">Figure </w:t>
      </w:r>
      <w:r w:rsidRPr="00CF0DF4">
        <w:fldChar w:fldCharType="begin"/>
      </w:r>
      <w:r w:rsidRPr="00CF0DF4">
        <w:instrText>SEQ Figure \* ARABIC</w:instrText>
      </w:r>
      <w:r w:rsidRPr="00CF0DF4">
        <w:fldChar w:fldCharType="separate"/>
      </w:r>
      <w:r w:rsidR="00DB4BE3">
        <w:rPr>
          <w:noProof/>
        </w:rPr>
        <w:t>12</w:t>
      </w:r>
      <w:r w:rsidRPr="00CF0DF4">
        <w:fldChar w:fldCharType="end"/>
      </w:r>
      <w:bookmarkEnd w:id="81"/>
      <w:r w:rsidRPr="00CF0DF4">
        <w:t xml:space="preserve">: Plots showing the </w:t>
      </w:r>
      <w:r w:rsidR="00781424">
        <w:t>hydrometeor</w:t>
      </w:r>
      <w:r w:rsidRPr="00CF0DF4">
        <w:t xml:space="preserve"> spectrum through the melting layer. The exponential fit of the slope parameter (left) and intercept parameter (right) are from </w:t>
      </w:r>
      <w:r w:rsidR="00CA397A" w:rsidRPr="00CF0DF4">
        <w:t xml:space="preserve">5 s averages of the </w:t>
      </w:r>
      <w:r w:rsidR="00023392" w:rsidRPr="00CF0DF4">
        <w:t>1</w:t>
      </w:r>
      <w:r w:rsidR="00CA397A" w:rsidRPr="00CF0DF4">
        <w:t xml:space="preserve"> </w:t>
      </w:r>
      <w:r w:rsidR="00724F4D" w:rsidRPr="00CF0DF4">
        <w:t>s</w:t>
      </w:r>
      <w:r w:rsidR="00023392" w:rsidRPr="00CF0DF4">
        <w:t xml:space="preserve"> spectrum</w:t>
      </w:r>
      <w:r w:rsidR="00CA397A" w:rsidRPr="00CF0DF4">
        <w:t xml:space="preserve"> </w:t>
      </w:r>
      <w:r w:rsidRPr="00CF0DF4">
        <w:t xml:space="preserve">from the </w:t>
      </w:r>
      <w:proofErr w:type="gramStart"/>
      <w:r w:rsidRPr="00CF0DF4">
        <w:t>High Volume</w:t>
      </w:r>
      <w:proofErr w:type="gramEnd"/>
      <w:r w:rsidRPr="00CF0DF4">
        <w:t xml:space="preserve"> Precipitation Spectrometer Version 3 (HVPS3) probe during the OLYMPEX_Ram_Des_100RH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 xml:space="preserve">. Relative humidity with respect to water (RH) </w:t>
      </w:r>
      <w:r w:rsidR="0061632B" w:rsidRPr="00CF0DF4">
        <w:t xml:space="preserve">data are </w:t>
      </w:r>
      <w:r w:rsidR="00724F4D" w:rsidRPr="00CF0DF4">
        <w:t xml:space="preserve">5 s averages. </w:t>
      </w:r>
      <w:r w:rsidRPr="00CF0DF4">
        <w:rPr>
          <w:rFonts w:eastAsia="Times New Roman" w:cs="Times New Roman"/>
        </w:rPr>
        <w:t>Horizontal black lines depict the time and altitude of the 0 °C air temperature (T) isotherm, melting layer top at the 0 °C ice-bulb temperature (T</w:t>
      </w:r>
      <w:r w:rsidRPr="00CF0DF4">
        <w:rPr>
          <w:rFonts w:eastAsia="Times New Roman" w:cs="Times New Roman"/>
          <w:vertAlign w:val="subscript"/>
        </w:rPr>
        <w:t>IB</w:t>
      </w:r>
      <w:r w:rsidRPr="00CF0DF4">
        <w:rPr>
          <w:rFonts w:eastAsia="Times New Roman" w:cs="Times New Roman"/>
        </w:rPr>
        <w:t xml:space="preserve">) isotherm, and the melting layer bottom where all </w:t>
      </w:r>
      <w:r w:rsidR="00781424">
        <w:rPr>
          <w:rFonts w:eastAsia="Times New Roman" w:cs="Times New Roman"/>
        </w:rPr>
        <w:t>hydrometeors</w:t>
      </w:r>
      <w:r w:rsidRPr="00CF0DF4">
        <w:rPr>
          <w:rFonts w:eastAsia="Times New Roman" w:cs="Times New Roman"/>
        </w:rPr>
        <w:t xml:space="preserve"> are ‘melted’</w:t>
      </w:r>
      <w:bookmarkEnd w:id="82"/>
    </w:p>
    <w:p w14:paraId="62AF15A2" w14:textId="262EECB6" w:rsidR="00317ACF" w:rsidRPr="00CF0DF4" w:rsidRDefault="00317ACF" w:rsidP="00317ACF">
      <w:pPr>
        <w:pStyle w:val="Body"/>
        <w:rPr>
          <w:lang w:val="en-US"/>
        </w:rPr>
      </w:pPr>
      <w:r w:rsidRPr="00CF0DF4">
        <w:rPr>
          <w:lang w:val="en-US"/>
        </w:rPr>
        <w:t>The area ratio in the OLYMPEX_Spi_Des_100RHb, OLYMPEX_Spi_Des_100RHc, and GCPEX_Spi-Asc_100RH cases change similarly to OLYMPEX_Ram_Des_100RH. Although, GCPEX_Spi-Asc_100RH</w:t>
      </w:r>
      <w:r w:rsidRPr="00CF0DF4">
        <w:rPr>
          <w:b/>
          <w:bCs/>
          <w:lang w:val="en-US"/>
        </w:rPr>
        <w:t xml:space="preserve"> </w:t>
      </w:r>
      <w:r w:rsidRPr="00CF0DF4">
        <w:rPr>
          <w:lang w:val="en-US"/>
        </w:rPr>
        <w:t>is much deeper and the transition to higher area ratio is much slower (</w:t>
      </w:r>
      <w:r w:rsidRPr="00CF0DF4">
        <w:rPr>
          <w:lang w:val="en-US"/>
        </w:rPr>
        <w:fldChar w:fldCharType="begin"/>
      </w:r>
      <w:r w:rsidRPr="00CF0DF4">
        <w:rPr>
          <w:lang w:val="en-US"/>
        </w:rPr>
        <w:instrText xml:space="preserve"> REF _Ref105567564 \h </w:instrText>
      </w:r>
      <w:r w:rsidRPr="00CF0DF4">
        <w:rPr>
          <w:lang w:val="en-US"/>
        </w:rPr>
      </w:r>
      <w:r w:rsidRPr="00CF0DF4">
        <w:rPr>
          <w:lang w:val="en-US"/>
        </w:rPr>
        <w:fldChar w:fldCharType="separate"/>
      </w:r>
      <w:r w:rsidR="00DB4BE3" w:rsidRPr="00CF0DF4">
        <w:t xml:space="preserve">Figure </w:t>
      </w:r>
      <w:r w:rsidR="00DB4BE3">
        <w:rPr>
          <w:noProof/>
        </w:rPr>
        <w:t>13</w:t>
      </w:r>
      <w:r w:rsidRPr="00CF0DF4">
        <w:rPr>
          <w:lang w:val="en-US"/>
        </w:rPr>
        <w:fldChar w:fldCharType="end"/>
      </w:r>
      <w:r w:rsidRPr="00CF0DF4">
        <w:rPr>
          <w:lang w:val="en-US"/>
        </w:rPr>
        <w:t>). The OLYMPEX_Spi_Des_100RHa case differs from the other saturated cases (</w:t>
      </w:r>
      <w:r w:rsidRPr="00CF0DF4">
        <w:rPr>
          <w:lang w:val="en-US"/>
        </w:rPr>
        <w:fldChar w:fldCharType="begin"/>
      </w:r>
      <w:r w:rsidRPr="00CF0DF4">
        <w:rPr>
          <w:lang w:val="en-US"/>
        </w:rPr>
        <w:instrText xml:space="preserve"> REF _Ref105172235 \h </w:instrText>
      </w:r>
      <w:r w:rsidRPr="00CF0DF4">
        <w:rPr>
          <w:lang w:val="en-US"/>
        </w:rPr>
      </w:r>
      <w:r w:rsidRPr="00CF0DF4">
        <w:rPr>
          <w:lang w:val="en-US"/>
        </w:rPr>
        <w:fldChar w:fldCharType="separate"/>
      </w:r>
      <w:r w:rsidR="00DB4BE3" w:rsidRPr="00CF0DF4">
        <w:t xml:space="preserve">Figure </w:t>
      </w:r>
      <w:r w:rsidR="00DB4BE3">
        <w:rPr>
          <w:noProof/>
        </w:rPr>
        <w:t>14</w:t>
      </w:r>
      <w:r w:rsidRPr="00CF0DF4">
        <w:rPr>
          <w:lang w:val="en-US"/>
        </w:rPr>
        <w:fldChar w:fldCharType="end"/>
      </w:r>
      <w:r w:rsidRPr="00CF0DF4">
        <w:rPr>
          <w:lang w:val="en-US"/>
        </w:rPr>
        <w:t xml:space="preserve">) in having a </w:t>
      </w:r>
      <w:proofErr w:type="gramStart"/>
      <w:r w:rsidRPr="00CF0DF4">
        <w:rPr>
          <w:lang w:val="en-US"/>
        </w:rPr>
        <w:t>lower area ratio values</w:t>
      </w:r>
      <w:proofErr w:type="gramEnd"/>
      <w:r w:rsidRPr="00CF0DF4">
        <w:rPr>
          <w:lang w:val="en-US"/>
        </w:rPr>
        <w:t xml:space="preserve">; however, the area ratio of the largest </w:t>
      </w:r>
      <w:r w:rsidR="00781424">
        <w:rPr>
          <w:lang w:val="en-US"/>
        </w:rPr>
        <w:t>hydrometeors</w:t>
      </w:r>
      <w:r w:rsidRPr="00CF0DF4">
        <w:rPr>
          <w:lang w:val="en-US"/>
        </w:rPr>
        <w:t xml:space="preserve"> still </w:t>
      </w:r>
      <w:r w:rsidRPr="00CF0DF4">
        <w:rPr>
          <w:lang w:val="en-US"/>
        </w:rPr>
        <w:lastRenderedPageBreak/>
        <w:t xml:space="preserve">increases as </w:t>
      </w:r>
      <w:r w:rsidR="00781424">
        <w:rPr>
          <w:lang w:val="en-US"/>
        </w:rPr>
        <w:t>hydrometeors</w:t>
      </w:r>
      <w:r w:rsidRPr="00CF0DF4">
        <w:rPr>
          <w:lang w:val="en-US"/>
        </w:rPr>
        <w:t xml:space="preserve"> melt (</w:t>
      </w:r>
      <w:r w:rsidRPr="00CF0DF4">
        <w:rPr>
          <w:lang w:val="en-US"/>
        </w:rPr>
        <w:fldChar w:fldCharType="begin"/>
      </w:r>
      <w:r w:rsidRPr="00CF0DF4">
        <w:rPr>
          <w:lang w:val="en-US"/>
        </w:rPr>
        <w:instrText xml:space="preserve"> REF _Ref105172235 \h </w:instrText>
      </w:r>
      <w:r w:rsidRPr="00CF0DF4">
        <w:rPr>
          <w:lang w:val="en-US"/>
        </w:rPr>
      </w:r>
      <w:r w:rsidRPr="00CF0DF4">
        <w:rPr>
          <w:lang w:val="en-US"/>
        </w:rPr>
        <w:fldChar w:fldCharType="separate"/>
      </w:r>
      <w:r w:rsidR="00DB4BE3" w:rsidRPr="00CF0DF4">
        <w:t xml:space="preserve">Figure </w:t>
      </w:r>
      <w:r w:rsidR="00DB4BE3">
        <w:rPr>
          <w:noProof/>
        </w:rPr>
        <w:t>14</w:t>
      </w:r>
      <w:r w:rsidRPr="00CF0DF4">
        <w:rPr>
          <w:lang w:val="en-US"/>
        </w:rPr>
        <w:fldChar w:fldCharType="end"/>
      </w:r>
      <w:r w:rsidRPr="00CF0DF4">
        <w:rPr>
          <w:lang w:val="en-US"/>
        </w:rPr>
        <w:t xml:space="preserve">). Thus, area ratio values alone may not be an indicator for the melting layer bottom; rather, an increase in area ratio for the largest </w:t>
      </w:r>
      <w:r w:rsidR="00781424">
        <w:rPr>
          <w:lang w:val="en-US"/>
        </w:rPr>
        <w:t>hydrometeors</w:t>
      </w:r>
      <w:r w:rsidRPr="00CF0DF4">
        <w:rPr>
          <w:lang w:val="en-US"/>
        </w:rPr>
        <w:t xml:space="preserve"> is necessary. </w:t>
      </w:r>
      <w:r w:rsidR="003B59C5" w:rsidRPr="00CF0DF4">
        <w:rPr>
          <w:lang w:val="en-US"/>
        </w:rPr>
        <w:t>Unexpectedly</w:t>
      </w:r>
      <w:r w:rsidRPr="00CF0DF4">
        <w:rPr>
          <w:lang w:val="en-US"/>
        </w:rPr>
        <w:t>,</w:t>
      </w:r>
      <w:r w:rsidR="004B5650" w:rsidRPr="00CF0DF4">
        <w:rPr>
          <w:lang w:val="en-US"/>
        </w:rPr>
        <w:t xml:space="preserve"> the</w:t>
      </w:r>
      <w:r w:rsidRPr="00CF0DF4">
        <w:rPr>
          <w:lang w:val="en-US"/>
        </w:rPr>
        <w:t xml:space="preserve"> area ratio of </w:t>
      </w:r>
      <w:r w:rsidR="00781424">
        <w:rPr>
          <w:lang w:val="en-US"/>
        </w:rPr>
        <w:t>hydrometeors</w:t>
      </w:r>
      <w:r w:rsidRPr="00CF0DF4">
        <w:rPr>
          <w:lang w:val="en-US"/>
        </w:rPr>
        <w:t xml:space="preserve"> smaller than 1,000 µm decreases by approximately 0.1 starting 50 m above the melting layer top</w:t>
      </w:r>
      <w:r w:rsidR="004B5650" w:rsidRPr="00CF0DF4">
        <w:rPr>
          <w:lang w:val="en-US"/>
        </w:rPr>
        <w:t xml:space="preserve"> instead of increasing</w:t>
      </w:r>
      <w:r w:rsidRPr="00CF0DF4">
        <w:rPr>
          <w:lang w:val="en-US"/>
        </w:rPr>
        <w:t>. Following a decrease in maximum diameter at the melting layer top, maximum diameter increases from approximately 2,500 µm to 4,000 µm over a 50 m depth in the middle of the melting layer.</w:t>
      </w:r>
    </w:p>
    <w:p w14:paraId="71DDE102"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62C12731" wp14:editId="27095F7D">
            <wp:extent cx="5895975" cy="2830570"/>
            <wp:effectExtent l="0" t="0" r="0" b="8255"/>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680DFEEA" w14:textId="56E5487F" w:rsidR="00317ACF" w:rsidRPr="00CF0DF4" w:rsidRDefault="00317ACF" w:rsidP="00317ACF">
      <w:pPr>
        <w:pStyle w:val="Caption-Figure"/>
      </w:pPr>
      <w:bookmarkStart w:id="83" w:name="_Ref105567564"/>
      <w:bookmarkStart w:id="84" w:name="_Toc109123126"/>
      <w:r w:rsidRPr="00CF0DF4">
        <w:t xml:space="preserve">Figure </w:t>
      </w:r>
      <w:r w:rsidRPr="00CF0DF4">
        <w:fldChar w:fldCharType="begin"/>
      </w:r>
      <w:r w:rsidRPr="00CF0DF4">
        <w:instrText>SEQ Figure \* ARABIC</w:instrText>
      </w:r>
      <w:r w:rsidRPr="00CF0DF4">
        <w:fldChar w:fldCharType="separate"/>
      </w:r>
      <w:r w:rsidR="00DB4BE3">
        <w:rPr>
          <w:noProof/>
        </w:rPr>
        <w:t>13</w:t>
      </w:r>
      <w:r w:rsidRPr="00CF0DF4">
        <w:fldChar w:fldCharType="end"/>
      </w:r>
      <w:bookmarkEnd w:id="83"/>
      <w:r w:rsidRPr="00CF0DF4">
        <w:t xml:space="preserve">: Plots </w:t>
      </w:r>
      <w:proofErr w:type="gramStart"/>
      <w:r w:rsidRPr="00CF0DF4">
        <w:t>similar to</w:t>
      </w:r>
      <w:proofErr w:type="gramEnd"/>
      <w:r w:rsidRPr="00CF0DF4">
        <w:t xml:space="preserve"> </w:t>
      </w:r>
      <w:r w:rsidRPr="00CF0DF4">
        <w:rPr>
          <w:rFonts w:eastAsia="Times New Roman" w:cs="Times New Roman"/>
        </w:rPr>
        <w:fldChar w:fldCharType="begin"/>
      </w:r>
      <w:r w:rsidRPr="00CF0DF4">
        <w:rPr>
          <w:rFonts w:eastAsia="Times New Roman" w:cs="Times New Roman"/>
        </w:rPr>
        <w:instrText xml:space="preserve"> REF _Ref107235029 \h </w:instrText>
      </w:r>
      <w:r w:rsidRPr="00CF0DF4">
        <w:rPr>
          <w:rFonts w:eastAsia="Times New Roman" w:cs="Times New Roman"/>
        </w:rPr>
      </w:r>
      <w:r w:rsidRPr="00CF0DF4">
        <w:rPr>
          <w:rFonts w:eastAsia="Times New Roman" w:cs="Times New Roman"/>
        </w:rPr>
        <w:fldChar w:fldCharType="separate"/>
      </w:r>
      <w:r w:rsidR="00DB4BE3" w:rsidRPr="00CF0DF4">
        <w:t xml:space="preserve">Figure </w:t>
      </w:r>
      <w:r w:rsidR="00DB4BE3">
        <w:rPr>
          <w:noProof/>
        </w:rPr>
        <w:t>11</w:t>
      </w:r>
      <w:r w:rsidRPr="00CF0DF4">
        <w:rPr>
          <w:rFonts w:eastAsia="Times New Roman" w:cs="Times New Roman"/>
        </w:rPr>
        <w:fldChar w:fldCharType="end"/>
      </w:r>
      <w:r w:rsidRPr="00CF0DF4">
        <w:t xml:space="preserve">, except for showing the melting layer for </w:t>
      </w:r>
      <w:r w:rsidR="001500B3" w:rsidRPr="00CF0DF4">
        <w:t xml:space="preserve">the </w:t>
      </w:r>
      <w:r w:rsidRPr="00CF0DF4">
        <w:t>GCPEX_Spi-Asc_100RH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84"/>
    </w:p>
    <w:p w14:paraId="7BF93424"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2DA10C56" wp14:editId="1663157D">
            <wp:extent cx="5895975" cy="2830570"/>
            <wp:effectExtent l="0" t="0" r="0" b="825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225240D1" w14:textId="78DF1914" w:rsidR="00317ACF" w:rsidRPr="00CF0DF4" w:rsidRDefault="00317ACF" w:rsidP="00317ACF">
      <w:pPr>
        <w:pStyle w:val="Caption-Figure"/>
      </w:pPr>
      <w:bookmarkStart w:id="85" w:name="_Ref105172235"/>
      <w:bookmarkStart w:id="86" w:name="_Toc109123127"/>
      <w:r w:rsidRPr="00CF0DF4">
        <w:t xml:space="preserve">Figure </w:t>
      </w:r>
      <w:r w:rsidRPr="00CF0DF4">
        <w:fldChar w:fldCharType="begin"/>
      </w:r>
      <w:r w:rsidRPr="00CF0DF4">
        <w:instrText>SEQ Figure \* ARABIC</w:instrText>
      </w:r>
      <w:r w:rsidRPr="00CF0DF4">
        <w:fldChar w:fldCharType="separate"/>
      </w:r>
      <w:r w:rsidR="00DB4BE3">
        <w:rPr>
          <w:noProof/>
        </w:rPr>
        <w:t>14</w:t>
      </w:r>
      <w:r w:rsidRPr="00CF0DF4">
        <w:fldChar w:fldCharType="end"/>
      </w:r>
      <w:bookmarkEnd w:id="85"/>
      <w:r w:rsidRPr="00CF0DF4">
        <w:t xml:space="preserve">: </w:t>
      </w:r>
      <w:r w:rsidR="001500B3" w:rsidRPr="00CF0DF4">
        <w:t xml:space="preserve">Plots </w:t>
      </w:r>
      <w:proofErr w:type="gramStart"/>
      <w:r w:rsidR="001500B3" w:rsidRPr="00CF0DF4">
        <w:t>similar to</w:t>
      </w:r>
      <w:proofErr w:type="gramEnd"/>
      <w:r w:rsidR="001500B3" w:rsidRPr="00CF0DF4">
        <w:t xml:space="preserve"> </w:t>
      </w:r>
      <w:r w:rsidR="001500B3" w:rsidRPr="00CF0DF4">
        <w:rPr>
          <w:rFonts w:eastAsia="Times New Roman" w:cs="Times New Roman"/>
        </w:rPr>
        <w:fldChar w:fldCharType="begin"/>
      </w:r>
      <w:r w:rsidR="001500B3" w:rsidRPr="00CF0DF4">
        <w:rPr>
          <w:rFonts w:eastAsia="Times New Roman" w:cs="Times New Roman"/>
        </w:rPr>
        <w:instrText xml:space="preserve"> REF _Ref107235029 \h </w:instrText>
      </w:r>
      <w:r w:rsidR="001500B3" w:rsidRPr="00CF0DF4">
        <w:rPr>
          <w:rFonts w:eastAsia="Times New Roman" w:cs="Times New Roman"/>
        </w:rPr>
      </w:r>
      <w:r w:rsidR="001500B3" w:rsidRPr="00CF0DF4">
        <w:rPr>
          <w:rFonts w:eastAsia="Times New Roman" w:cs="Times New Roman"/>
        </w:rPr>
        <w:fldChar w:fldCharType="separate"/>
      </w:r>
      <w:r w:rsidR="00DB4BE3" w:rsidRPr="00CF0DF4">
        <w:t xml:space="preserve">Figure </w:t>
      </w:r>
      <w:r w:rsidR="00DB4BE3">
        <w:rPr>
          <w:noProof/>
        </w:rPr>
        <w:t>11</w:t>
      </w:r>
      <w:r w:rsidR="001500B3" w:rsidRPr="00CF0DF4">
        <w:rPr>
          <w:rFonts w:eastAsia="Times New Roman" w:cs="Times New Roman"/>
        </w:rPr>
        <w:fldChar w:fldCharType="end"/>
      </w:r>
      <w:r w:rsidR="001500B3" w:rsidRPr="00CF0DF4">
        <w:t xml:space="preserve">, except for showing the melting layer for </w:t>
      </w:r>
      <w:r w:rsidRPr="00CF0DF4">
        <w:t>the OLYMPEX_Spi-Des_100RHa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86"/>
    </w:p>
    <w:p w14:paraId="488D4F97" w14:textId="6C27D7C1" w:rsidR="00317ACF" w:rsidRPr="00CF0DF4" w:rsidRDefault="00317ACF" w:rsidP="00317ACF">
      <w:pPr>
        <w:pStyle w:val="Body"/>
        <w:rPr>
          <w:lang w:val="en-US"/>
        </w:rPr>
      </w:pPr>
      <w:r w:rsidRPr="00CF0DF4">
        <w:rPr>
          <w:lang w:val="en-US"/>
        </w:rPr>
        <w:t>The intercept and slope parameters from the exponentially fitted size distribution vary greatly between the saturated cases. Contrasting OLYMPEX_Ram_Des_100RH, both parameter trends downward in the melting layer during OLYMPEX_Spi-Des_100RHc (</w:t>
      </w:r>
      <w:r w:rsidRPr="00CF0DF4">
        <w:rPr>
          <w:lang w:val="en-US"/>
        </w:rPr>
        <w:fldChar w:fldCharType="begin"/>
      </w:r>
      <w:r w:rsidRPr="00CF0DF4">
        <w:rPr>
          <w:lang w:val="en-US"/>
        </w:rPr>
        <w:instrText xml:space="preserve"> REF _Ref105567585 \h </w:instrText>
      </w:r>
      <w:r w:rsidRPr="00CF0DF4">
        <w:rPr>
          <w:lang w:val="en-US"/>
        </w:rPr>
      </w:r>
      <w:r w:rsidRPr="00CF0DF4">
        <w:rPr>
          <w:lang w:val="en-US"/>
        </w:rPr>
        <w:fldChar w:fldCharType="separate"/>
      </w:r>
      <w:r w:rsidR="00DB4BE3" w:rsidRPr="00CF0DF4">
        <w:t xml:space="preserve">Figure </w:t>
      </w:r>
      <w:r w:rsidR="00DB4BE3">
        <w:rPr>
          <w:noProof/>
        </w:rPr>
        <w:t>15</w:t>
      </w:r>
      <w:r w:rsidRPr="00CF0DF4">
        <w:rPr>
          <w:lang w:val="en-US"/>
        </w:rPr>
        <w:fldChar w:fldCharType="end"/>
      </w:r>
      <w:r w:rsidRPr="00CF0DF4">
        <w:rPr>
          <w:lang w:val="en-US"/>
        </w:rPr>
        <w:t xml:space="preserve">). During GCPEX_Spi-Asc_100RH, both parameters slowly increase from above the melting layer to </w:t>
      </w:r>
      <w:r w:rsidR="009D40A7" w:rsidRPr="00CF0DF4">
        <w:rPr>
          <w:lang w:val="en-US"/>
        </w:rPr>
        <w:t>approximately</w:t>
      </w:r>
      <w:r w:rsidRPr="00CF0DF4">
        <w:rPr>
          <w:lang w:val="en-US"/>
        </w:rPr>
        <w:t xml:space="preserve"> 200 m below the melting layer top (</w:t>
      </w:r>
      <w:r w:rsidRPr="00CF0DF4">
        <w:rPr>
          <w:lang w:val="en-US"/>
        </w:rPr>
        <w:fldChar w:fldCharType="begin"/>
      </w:r>
      <w:r w:rsidRPr="00CF0DF4">
        <w:rPr>
          <w:lang w:val="en-US"/>
        </w:rPr>
        <w:instrText xml:space="preserve"> REF _Ref105567573 \h </w:instrText>
      </w:r>
      <w:r w:rsidRPr="00CF0DF4">
        <w:rPr>
          <w:lang w:val="en-US"/>
        </w:rPr>
      </w:r>
      <w:r w:rsidRPr="00CF0DF4">
        <w:rPr>
          <w:lang w:val="en-US"/>
        </w:rPr>
        <w:fldChar w:fldCharType="separate"/>
      </w:r>
      <w:r w:rsidR="00DB4BE3" w:rsidRPr="00CF0DF4">
        <w:t xml:space="preserve">Figure </w:t>
      </w:r>
      <w:r w:rsidR="00DB4BE3">
        <w:rPr>
          <w:noProof/>
        </w:rPr>
        <w:t>16</w:t>
      </w:r>
      <w:r w:rsidRPr="00CF0DF4">
        <w:rPr>
          <w:lang w:val="en-US"/>
        </w:rPr>
        <w:fldChar w:fldCharType="end"/>
      </w:r>
      <w:r w:rsidRPr="00CF0DF4">
        <w:rPr>
          <w:lang w:val="en-US"/>
        </w:rPr>
        <w:t xml:space="preserve">). There is a peak in the parameters associated with slightly increased </w:t>
      </w:r>
      <w:r w:rsidR="00781424">
        <w:rPr>
          <w:lang w:val="en-US"/>
        </w:rPr>
        <w:t>hydrometeor</w:t>
      </w:r>
      <w:r w:rsidRPr="00CF0DF4">
        <w:rPr>
          <w:lang w:val="en-US"/>
        </w:rPr>
        <w:t xml:space="preserve"> concentrations in the middle of the melting layer (</w:t>
      </w:r>
      <w:r w:rsidRPr="00CF0DF4">
        <w:rPr>
          <w:lang w:val="en-US"/>
        </w:rPr>
        <w:fldChar w:fldCharType="begin"/>
      </w:r>
      <w:r w:rsidRPr="00CF0DF4">
        <w:rPr>
          <w:lang w:val="en-US"/>
        </w:rPr>
        <w:instrText xml:space="preserve"> REF _Ref105567564 \h </w:instrText>
      </w:r>
      <w:r w:rsidRPr="00CF0DF4">
        <w:rPr>
          <w:lang w:val="en-US"/>
        </w:rPr>
      </w:r>
      <w:r w:rsidRPr="00CF0DF4">
        <w:rPr>
          <w:lang w:val="en-US"/>
        </w:rPr>
        <w:fldChar w:fldCharType="separate"/>
      </w:r>
      <w:r w:rsidR="00DB4BE3" w:rsidRPr="00CF0DF4">
        <w:t xml:space="preserve">Figure </w:t>
      </w:r>
      <w:r w:rsidR="00DB4BE3">
        <w:rPr>
          <w:noProof/>
        </w:rPr>
        <w:t>13</w:t>
      </w:r>
      <w:r w:rsidRPr="00CF0DF4">
        <w:rPr>
          <w:lang w:val="en-US"/>
        </w:rPr>
        <w:fldChar w:fldCharType="end"/>
      </w:r>
      <w:r w:rsidRPr="00CF0DF4">
        <w:rPr>
          <w:lang w:val="en-US"/>
        </w:rPr>
        <w:t>). In the lowest 250 m of the melting layer, both parameters decrease towards the melting layer bottom where they roughly level off (</w:t>
      </w:r>
      <w:r w:rsidRPr="00CF0DF4">
        <w:rPr>
          <w:lang w:val="en-US"/>
        </w:rPr>
        <w:fldChar w:fldCharType="begin"/>
      </w:r>
      <w:r w:rsidRPr="00CF0DF4">
        <w:rPr>
          <w:lang w:val="en-US"/>
        </w:rPr>
        <w:instrText xml:space="preserve"> REF _Ref105567573 \h </w:instrText>
      </w:r>
      <w:r w:rsidRPr="00CF0DF4">
        <w:rPr>
          <w:lang w:val="en-US"/>
        </w:rPr>
      </w:r>
      <w:r w:rsidRPr="00CF0DF4">
        <w:rPr>
          <w:lang w:val="en-US"/>
        </w:rPr>
        <w:fldChar w:fldCharType="separate"/>
      </w:r>
      <w:r w:rsidR="00DB4BE3" w:rsidRPr="00CF0DF4">
        <w:t xml:space="preserve">Figure </w:t>
      </w:r>
      <w:r w:rsidR="00DB4BE3">
        <w:rPr>
          <w:noProof/>
        </w:rPr>
        <w:t>16</w:t>
      </w:r>
      <w:r w:rsidRPr="00CF0DF4">
        <w:rPr>
          <w:lang w:val="en-US"/>
        </w:rPr>
        <w:fldChar w:fldCharType="end"/>
      </w:r>
      <w:r w:rsidRPr="00CF0DF4">
        <w:rPr>
          <w:lang w:val="en-US"/>
        </w:rPr>
        <w:t>). Ultimately, both parameters are lower below the melting layer than above (</w:t>
      </w:r>
      <w:r w:rsidRPr="00CF0DF4">
        <w:rPr>
          <w:lang w:val="en-US"/>
        </w:rPr>
        <w:fldChar w:fldCharType="begin"/>
      </w:r>
      <w:r w:rsidRPr="00CF0DF4">
        <w:rPr>
          <w:lang w:val="en-US"/>
        </w:rPr>
        <w:instrText xml:space="preserve"> REF _Ref105567573 \h </w:instrText>
      </w:r>
      <w:r w:rsidRPr="00CF0DF4">
        <w:rPr>
          <w:lang w:val="en-US"/>
        </w:rPr>
      </w:r>
      <w:r w:rsidRPr="00CF0DF4">
        <w:rPr>
          <w:lang w:val="en-US"/>
        </w:rPr>
        <w:fldChar w:fldCharType="separate"/>
      </w:r>
      <w:r w:rsidR="00DB4BE3" w:rsidRPr="00CF0DF4">
        <w:t xml:space="preserve">Figure </w:t>
      </w:r>
      <w:r w:rsidR="00DB4BE3">
        <w:rPr>
          <w:noProof/>
        </w:rPr>
        <w:t>16</w:t>
      </w:r>
      <w:r w:rsidRPr="00CF0DF4">
        <w:rPr>
          <w:lang w:val="en-US"/>
        </w:rPr>
        <w:fldChar w:fldCharType="end"/>
      </w:r>
      <w:r w:rsidRPr="00CF0DF4">
        <w:rPr>
          <w:lang w:val="en-US"/>
        </w:rPr>
        <w:t>).</w:t>
      </w:r>
    </w:p>
    <w:p w14:paraId="70334080"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723C1281" wp14:editId="059EE49D">
            <wp:extent cx="5898143" cy="5076825"/>
            <wp:effectExtent l="0" t="0" r="762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98143" cy="5076825"/>
                    </a:xfrm>
                    <a:prstGeom prst="rect">
                      <a:avLst/>
                    </a:prstGeom>
                    <a:noFill/>
                    <a:ln>
                      <a:noFill/>
                    </a:ln>
                  </pic:spPr>
                </pic:pic>
              </a:graphicData>
            </a:graphic>
          </wp:inline>
        </w:drawing>
      </w:r>
    </w:p>
    <w:p w14:paraId="793E56DF" w14:textId="2467DCC2" w:rsidR="00317ACF" w:rsidRPr="00CF0DF4" w:rsidRDefault="00317ACF" w:rsidP="00317ACF">
      <w:pPr>
        <w:pStyle w:val="Caption-Figure"/>
      </w:pPr>
      <w:bookmarkStart w:id="87" w:name="_Ref105567585"/>
      <w:bookmarkStart w:id="88" w:name="_Toc109123128"/>
      <w:r w:rsidRPr="00CF0DF4">
        <w:t xml:space="preserve">Figure </w:t>
      </w:r>
      <w:r w:rsidRPr="00CF0DF4">
        <w:fldChar w:fldCharType="begin"/>
      </w:r>
      <w:r w:rsidRPr="00CF0DF4">
        <w:instrText>SEQ Figure \* ARABIC</w:instrText>
      </w:r>
      <w:r w:rsidRPr="00CF0DF4">
        <w:fldChar w:fldCharType="separate"/>
      </w:r>
      <w:r w:rsidR="00DB4BE3">
        <w:rPr>
          <w:noProof/>
        </w:rPr>
        <w:t>15</w:t>
      </w:r>
      <w:r w:rsidRPr="00CF0DF4">
        <w:fldChar w:fldCharType="end"/>
      </w:r>
      <w:bookmarkEnd w:id="87"/>
      <w:r w:rsidRPr="00CF0DF4">
        <w:rPr>
          <w:noProof/>
        </w:rPr>
        <w:t>:</w:t>
      </w:r>
      <w:r w:rsidRPr="00CF0DF4">
        <w:t xml:space="preserve"> </w:t>
      </w:r>
      <w:r w:rsidR="00F5188B" w:rsidRPr="00CF0DF4">
        <w:t xml:space="preserve">Plots </w:t>
      </w:r>
      <w:proofErr w:type="gramStart"/>
      <w:r w:rsidR="00F5188B">
        <w:t>similar to</w:t>
      </w:r>
      <w:proofErr w:type="gramEnd"/>
      <w:r w:rsidR="00F5188B">
        <w:t xml:space="preserve">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OLYMPEX_Ram-Des_98RHb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88"/>
    </w:p>
    <w:p w14:paraId="6797AA43"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3BB5175A" wp14:editId="2D4DBA01">
            <wp:extent cx="5905500" cy="5076825"/>
            <wp:effectExtent l="0" t="0" r="0" b="952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406BB2EB" w14:textId="23810439" w:rsidR="00317ACF" w:rsidRPr="00CF0DF4" w:rsidRDefault="00317ACF" w:rsidP="00317ACF">
      <w:pPr>
        <w:pStyle w:val="Caption-Figure"/>
      </w:pPr>
      <w:bookmarkStart w:id="89" w:name="_Ref105567573"/>
      <w:bookmarkStart w:id="90" w:name="_Toc109123129"/>
      <w:r w:rsidRPr="00CF0DF4">
        <w:t xml:space="preserve">Figure </w:t>
      </w:r>
      <w:r w:rsidRPr="00CF0DF4">
        <w:fldChar w:fldCharType="begin"/>
      </w:r>
      <w:r w:rsidRPr="00CF0DF4">
        <w:instrText>SEQ Figure \* ARABIC</w:instrText>
      </w:r>
      <w:r w:rsidRPr="00CF0DF4">
        <w:fldChar w:fldCharType="separate"/>
      </w:r>
      <w:r w:rsidR="00DB4BE3">
        <w:rPr>
          <w:noProof/>
        </w:rPr>
        <w:t>16</w:t>
      </w:r>
      <w:r w:rsidRPr="00CF0DF4">
        <w:fldChar w:fldCharType="end"/>
      </w:r>
      <w:bookmarkEnd w:id="89"/>
      <w:r w:rsidRPr="00CF0DF4">
        <w:rPr>
          <w:noProof/>
        </w:rPr>
        <w:t>:</w:t>
      </w:r>
      <w:r w:rsidRPr="00CF0DF4">
        <w:t xml:space="preserve"> </w:t>
      </w:r>
      <w:r w:rsidR="00F5188B" w:rsidRPr="00CF0DF4">
        <w:t xml:space="preserve">Plots </w:t>
      </w:r>
      <w:proofErr w:type="gramStart"/>
      <w:r w:rsidR="00F5188B">
        <w:t>similar to</w:t>
      </w:r>
      <w:proofErr w:type="gramEnd"/>
      <w:r w:rsidR="00F5188B">
        <w:t xml:space="preserve">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GCPEX_Spi-Asc_100RH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0"/>
    </w:p>
    <w:p w14:paraId="7EBBAE65" w14:textId="1EA24420" w:rsidR="00317ACF" w:rsidRPr="00CF0DF4" w:rsidRDefault="00317ACF" w:rsidP="00317ACF">
      <w:pPr>
        <w:pStyle w:val="Heading2"/>
        <w:rPr>
          <w:lang w:val="en-US"/>
        </w:rPr>
      </w:pPr>
      <w:bookmarkStart w:id="91" w:name="_Toc109123107"/>
      <w:r w:rsidRPr="00CF0DF4">
        <w:rPr>
          <w:highlight w:val="lightGray"/>
          <w:lang w:val="en-US"/>
        </w:rPr>
        <w:t>4.3 High Relative Humidity</w:t>
      </w:r>
      <w:bookmarkEnd w:id="91"/>
    </w:p>
    <w:p w14:paraId="011E4E68" w14:textId="2800A23C" w:rsidR="00317ACF" w:rsidRPr="00CF0DF4" w:rsidRDefault="00317ACF" w:rsidP="00317ACF">
      <w:pPr>
        <w:pStyle w:val="Body"/>
        <w:rPr>
          <w:lang w:val="en-US"/>
        </w:rPr>
      </w:pPr>
      <w:r w:rsidRPr="00CF0DF4">
        <w:rPr>
          <w:lang w:val="en-US"/>
        </w:rPr>
        <w:t xml:space="preserve">The OLYMPEX_Ram-Des_98RHa case is representative of many of the melting layers with greater than 95 percent relative humidity. Over the melting layer depth of 261 m, maximum diameter steadily decreases while area ratio of large </w:t>
      </w:r>
      <w:r w:rsidR="00781424">
        <w:rPr>
          <w:lang w:val="en-US"/>
        </w:rPr>
        <w:t>hydrometeors</w:t>
      </w:r>
      <w:r w:rsidRPr="00CF0DF4">
        <w:rPr>
          <w:lang w:val="en-US"/>
        </w:rPr>
        <w:t xml:space="preserve"> steadily increases (</w:t>
      </w:r>
      <w:r w:rsidRPr="00CF0DF4">
        <w:rPr>
          <w:lang w:val="en-US"/>
        </w:rPr>
        <w:fldChar w:fldCharType="begin"/>
      </w:r>
      <w:r w:rsidRPr="00CF0DF4">
        <w:rPr>
          <w:lang w:val="en-US"/>
        </w:rPr>
        <w:instrText xml:space="preserve"> REF _Ref105567092 \h </w:instrText>
      </w:r>
      <w:r w:rsidRPr="00CF0DF4">
        <w:rPr>
          <w:lang w:val="en-US"/>
        </w:rPr>
      </w:r>
      <w:r w:rsidRPr="00CF0DF4">
        <w:rPr>
          <w:lang w:val="en-US"/>
        </w:rPr>
        <w:fldChar w:fldCharType="separate"/>
      </w:r>
      <w:r w:rsidR="00DB4BE3" w:rsidRPr="00CF0DF4">
        <w:t xml:space="preserve">Figure </w:t>
      </w:r>
      <w:r w:rsidR="00DB4BE3">
        <w:rPr>
          <w:noProof/>
        </w:rPr>
        <w:t>17</w:t>
      </w:r>
      <w:r w:rsidRPr="00CF0DF4">
        <w:rPr>
          <w:lang w:val="en-US"/>
        </w:rPr>
        <w:fldChar w:fldCharType="end"/>
      </w:r>
      <w:r w:rsidRPr="00CF0DF4">
        <w:rPr>
          <w:lang w:val="en-US"/>
        </w:rPr>
        <w:t xml:space="preserve">). Above the melting layer, the area ratio values vary with </w:t>
      </w:r>
      <w:r w:rsidR="00781424">
        <w:rPr>
          <w:lang w:val="en-US"/>
        </w:rPr>
        <w:t>hydrometeors</w:t>
      </w:r>
      <w:r w:rsidRPr="00CF0DF4">
        <w:rPr>
          <w:lang w:val="en-US"/>
        </w:rPr>
        <w:t xml:space="preserve"> size, with larger </w:t>
      </w:r>
      <w:r w:rsidR="00781424">
        <w:rPr>
          <w:lang w:val="en-US"/>
        </w:rPr>
        <w:t>hydrometeors</w:t>
      </w:r>
      <w:r w:rsidRPr="00CF0DF4">
        <w:rPr>
          <w:lang w:val="en-US"/>
        </w:rPr>
        <w:t xml:space="preserve"> having lower area ratio. At the melting layer top, area ratio of </w:t>
      </w:r>
      <w:r w:rsidR="00781424">
        <w:rPr>
          <w:lang w:val="en-US"/>
        </w:rPr>
        <w:t>hydrometeors</w:t>
      </w:r>
      <w:r w:rsidRPr="00CF0DF4">
        <w:rPr>
          <w:lang w:val="en-US"/>
        </w:rPr>
        <w:t xml:space="preserve"> less than 1,000 µm rapidly increases by 0.2. From the top to the bottom of the melting layer, maximum </w:t>
      </w:r>
      <w:r w:rsidRPr="00CF0DF4">
        <w:rPr>
          <w:lang w:val="en-US"/>
        </w:rPr>
        <w:lastRenderedPageBreak/>
        <w:t xml:space="preserve">diameter decreases by approximately 13,000 µm, from 16,000 µm to 3,000 µm, suggesting there is no enhanced aggregation occurring in the melting layer. The area ratio of the large </w:t>
      </w:r>
      <w:r w:rsidR="00781424">
        <w:rPr>
          <w:lang w:val="en-US"/>
        </w:rPr>
        <w:t>hydrometeors</w:t>
      </w:r>
      <w:r w:rsidRPr="00CF0DF4">
        <w:rPr>
          <w:lang w:val="en-US"/>
        </w:rPr>
        <w:t xml:space="preserve"> reaches a maximum of approximately 0.8 at the melting layer bottom, matching the raindrop value in </w:t>
      </w:r>
      <w:r w:rsidRPr="00CF0DF4">
        <w:rPr>
          <w:lang w:val="en-US"/>
        </w:rPr>
        <w:fldChar w:fldCharType="begin"/>
      </w:r>
      <w:r w:rsidRPr="00CF0DF4">
        <w:rPr>
          <w:lang w:val="en-US"/>
        </w:rPr>
        <w:instrText xml:space="preserve"> ADDIN ZOTERO_ITEM CSL_CITATION {"citationID":"HkbtCEoZ","properties":{"formattedCitation":"(Heymsfield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Within and below the melting layer depth, the concentration of </w:t>
      </w:r>
      <w:r w:rsidR="00781424">
        <w:rPr>
          <w:lang w:val="en-US"/>
        </w:rPr>
        <w:t>hydrometeors</w:t>
      </w:r>
      <w:r w:rsidRPr="00CF0DF4">
        <w:rPr>
          <w:lang w:val="en-US"/>
        </w:rPr>
        <w:t xml:space="preserve"> smaller than 1,000 µm slightly increases. </w:t>
      </w:r>
    </w:p>
    <w:p w14:paraId="02B2AD0C"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19E577D5" wp14:editId="1332D417">
            <wp:extent cx="5895975" cy="2830570"/>
            <wp:effectExtent l="0" t="0" r="0" b="825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1BA560DB" w14:textId="2A99D428" w:rsidR="00317ACF" w:rsidRPr="00CF0DF4" w:rsidRDefault="00317ACF" w:rsidP="00317ACF">
      <w:pPr>
        <w:pStyle w:val="Caption-Figure"/>
      </w:pPr>
      <w:bookmarkStart w:id="92" w:name="_Ref105567092"/>
      <w:bookmarkStart w:id="93" w:name="_Toc109123130"/>
      <w:r w:rsidRPr="00CF0DF4">
        <w:t xml:space="preserve">Figure </w:t>
      </w:r>
      <w:r w:rsidRPr="00CF0DF4">
        <w:fldChar w:fldCharType="begin"/>
      </w:r>
      <w:r w:rsidRPr="00CF0DF4">
        <w:instrText>SEQ Figure \* ARABIC</w:instrText>
      </w:r>
      <w:r w:rsidRPr="00CF0DF4">
        <w:fldChar w:fldCharType="separate"/>
      </w:r>
      <w:r w:rsidR="00DB4BE3">
        <w:rPr>
          <w:noProof/>
        </w:rPr>
        <w:t>17</w:t>
      </w:r>
      <w:r w:rsidRPr="00CF0DF4">
        <w:fldChar w:fldCharType="end"/>
      </w:r>
      <w:bookmarkEnd w:id="92"/>
      <w:r w:rsidRPr="00CF0DF4">
        <w:t xml:space="preserve">: </w:t>
      </w:r>
      <w:r w:rsidR="001500B3" w:rsidRPr="00CF0DF4">
        <w:t xml:space="preserve">Plots </w:t>
      </w:r>
      <w:proofErr w:type="gramStart"/>
      <w:r w:rsidR="001500B3" w:rsidRPr="00CF0DF4">
        <w:t>similar to</w:t>
      </w:r>
      <w:proofErr w:type="gramEnd"/>
      <w:r w:rsidR="001500B3" w:rsidRPr="00CF0DF4">
        <w:t xml:space="preserve"> </w:t>
      </w:r>
      <w:r w:rsidR="001500B3" w:rsidRPr="00CF0DF4">
        <w:rPr>
          <w:rFonts w:eastAsia="Times New Roman" w:cs="Times New Roman"/>
        </w:rPr>
        <w:fldChar w:fldCharType="begin"/>
      </w:r>
      <w:r w:rsidR="001500B3" w:rsidRPr="00CF0DF4">
        <w:rPr>
          <w:rFonts w:eastAsia="Times New Roman" w:cs="Times New Roman"/>
        </w:rPr>
        <w:instrText xml:space="preserve"> REF _Ref107235029 \h </w:instrText>
      </w:r>
      <w:r w:rsidR="001500B3" w:rsidRPr="00CF0DF4">
        <w:rPr>
          <w:rFonts w:eastAsia="Times New Roman" w:cs="Times New Roman"/>
        </w:rPr>
      </w:r>
      <w:r w:rsidR="001500B3" w:rsidRPr="00CF0DF4">
        <w:rPr>
          <w:rFonts w:eastAsia="Times New Roman" w:cs="Times New Roman"/>
        </w:rPr>
        <w:fldChar w:fldCharType="separate"/>
      </w:r>
      <w:r w:rsidR="00DB4BE3" w:rsidRPr="00CF0DF4">
        <w:t xml:space="preserve">Figure </w:t>
      </w:r>
      <w:r w:rsidR="00DB4BE3">
        <w:rPr>
          <w:noProof/>
        </w:rPr>
        <w:t>11</w:t>
      </w:r>
      <w:r w:rsidR="001500B3" w:rsidRPr="00CF0DF4">
        <w:rPr>
          <w:rFonts w:eastAsia="Times New Roman" w:cs="Times New Roman"/>
        </w:rPr>
        <w:fldChar w:fldCharType="end"/>
      </w:r>
      <w:r w:rsidR="001500B3" w:rsidRPr="00CF0DF4">
        <w:t xml:space="preserve">, except for showing the melting layer for the </w:t>
      </w:r>
      <w:proofErr w:type="spellStart"/>
      <w:r w:rsidRPr="00CF0DF4">
        <w:t>the</w:t>
      </w:r>
      <w:proofErr w:type="spellEnd"/>
      <w:r w:rsidRPr="00CF0DF4">
        <w:t xml:space="preserve"> OLYMPEX_Ram-Des_98RHa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3"/>
    </w:p>
    <w:p w14:paraId="32817914" w14:textId="3920E402" w:rsidR="00317ACF" w:rsidRPr="00CF0DF4" w:rsidRDefault="00317ACF" w:rsidP="00317ACF">
      <w:pPr>
        <w:pStyle w:val="Body"/>
        <w:rPr>
          <w:lang w:val="en-US"/>
        </w:rPr>
      </w:pPr>
      <w:r w:rsidRPr="00CF0DF4">
        <w:rPr>
          <w:lang w:val="en-US"/>
        </w:rPr>
        <w:t xml:space="preserve">Like the saturated cases, </w:t>
      </w:r>
      <w:r w:rsidR="00126E9D" w:rsidRPr="00CF0DF4">
        <w:rPr>
          <w:lang w:val="en-US"/>
        </w:rPr>
        <w:t>the change in the</w:t>
      </w:r>
      <w:r w:rsidRPr="00CF0DF4">
        <w:rPr>
          <w:lang w:val="en-US"/>
        </w:rPr>
        <w:t xml:space="preserve"> slope and shape parameter</w:t>
      </w:r>
      <w:r w:rsidR="00126E9D" w:rsidRPr="00CF0DF4">
        <w:rPr>
          <w:lang w:val="en-US"/>
        </w:rPr>
        <w:t xml:space="preserve"> within the melting layer</w:t>
      </w:r>
      <w:r w:rsidRPr="00CF0DF4">
        <w:rPr>
          <w:lang w:val="en-US"/>
        </w:rPr>
        <w:t xml:space="preserve"> varies greatly between the cases with greater than 90 percent relative humidity. During OLYMPEX_Ram-Des_98RHa, both the slope and intercept parameter increase at the melting layer top (</w:t>
      </w:r>
      <w:r w:rsidRPr="00CF0DF4">
        <w:rPr>
          <w:lang w:val="en-US"/>
        </w:rPr>
        <w:fldChar w:fldCharType="begin"/>
      </w:r>
      <w:r w:rsidRPr="00CF0DF4">
        <w:rPr>
          <w:lang w:val="en-US"/>
        </w:rPr>
        <w:instrText xml:space="preserve"> REF _Ref105567594 \h </w:instrText>
      </w:r>
      <w:r w:rsidRPr="00CF0DF4">
        <w:rPr>
          <w:lang w:val="en-US"/>
        </w:rPr>
      </w:r>
      <w:r w:rsidRPr="00CF0DF4">
        <w:rPr>
          <w:lang w:val="en-US"/>
        </w:rPr>
        <w:fldChar w:fldCharType="separate"/>
      </w:r>
      <w:r w:rsidR="00DB4BE3" w:rsidRPr="00CF0DF4">
        <w:t xml:space="preserve">Figure </w:t>
      </w:r>
      <w:r w:rsidR="00DB4BE3">
        <w:rPr>
          <w:noProof/>
        </w:rPr>
        <w:t>18</w:t>
      </w:r>
      <w:r w:rsidRPr="00CF0DF4">
        <w:rPr>
          <w:lang w:val="en-US"/>
        </w:rPr>
        <w:fldChar w:fldCharType="end"/>
      </w:r>
      <w:r w:rsidRPr="00CF0DF4">
        <w:rPr>
          <w:lang w:val="en-US"/>
        </w:rPr>
        <w:t xml:space="preserve">), located with the decrease of maximum </w:t>
      </w:r>
      <w:r w:rsidR="00781424">
        <w:rPr>
          <w:lang w:val="en-US"/>
        </w:rPr>
        <w:t>hydrometeor</w:t>
      </w:r>
      <w:r w:rsidRPr="00CF0DF4">
        <w:rPr>
          <w:lang w:val="en-US"/>
        </w:rPr>
        <w:t xml:space="preserve"> diameter and a slight increase in concentration of small </w:t>
      </w:r>
      <w:r w:rsidR="00781424">
        <w:rPr>
          <w:lang w:val="en-US"/>
        </w:rPr>
        <w:t>hydrometeors</w:t>
      </w:r>
      <w:r w:rsidRPr="00CF0DF4">
        <w:rPr>
          <w:lang w:val="en-US"/>
        </w:rPr>
        <w:t xml:space="preserve"> (</w:t>
      </w:r>
      <w:r w:rsidRPr="00CF0DF4">
        <w:rPr>
          <w:lang w:val="en-US"/>
        </w:rPr>
        <w:fldChar w:fldCharType="begin"/>
      </w:r>
      <w:r w:rsidRPr="00CF0DF4">
        <w:rPr>
          <w:lang w:val="en-US"/>
        </w:rPr>
        <w:instrText xml:space="preserve"> REF _Ref105567092 \h </w:instrText>
      </w:r>
      <w:r w:rsidRPr="00CF0DF4">
        <w:rPr>
          <w:lang w:val="en-US"/>
        </w:rPr>
      </w:r>
      <w:r w:rsidRPr="00CF0DF4">
        <w:rPr>
          <w:lang w:val="en-US"/>
        </w:rPr>
        <w:fldChar w:fldCharType="separate"/>
      </w:r>
      <w:r w:rsidR="00DB4BE3" w:rsidRPr="00CF0DF4">
        <w:t xml:space="preserve">Figure </w:t>
      </w:r>
      <w:r w:rsidR="00DB4BE3">
        <w:rPr>
          <w:noProof/>
        </w:rPr>
        <w:t>17</w:t>
      </w:r>
      <w:r w:rsidRPr="00CF0DF4">
        <w:rPr>
          <w:lang w:val="en-US"/>
        </w:rPr>
        <w:fldChar w:fldCharType="end"/>
      </w:r>
      <w:r w:rsidRPr="00CF0DF4">
        <w:rPr>
          <w:lang w:val="en-US"/>
        </w:rPr>
        <w:t xml:space="preserve">). Broadly, the slope and intercept parameters increase from the melting layer top towards the bottom at a much lesser magnitude, </w:t>
      </w:r>
      <w:proofErr w:type="gramStart"/>
      <w:r w:rsidRPr="00CF0DF4">
        <w:rPr>
          <w:lang w:val="en-US"/>
        </w:rPr>
        <w:t>similar to</w:t>
      </w:r>
      <w:proofErr w:type="gramEnd"/>
      <w:r w:rsidRPr="00CF0DF4">
        <w:rPr>
          <w:lang w:val="en-US"/>
        </w:rPr>
        <w:t xml:space="preserve"> OLYMPEX_Ram_Des_100RH (</w:t>
      </w:r>
      <w:r w:rsidRPr="00CF0DF4">
        <w:rPr>
          <w:lang w:val="en-US"/>
        </w:rPr>
        <w:fldChar w:fldCharType="begin"/>
      </w:r>
      <w:r w:rsidRPr="00CF0DF4">
        <w:rPr>
          <w:lang w:val="en-US"/>
        </w:rPr>
        <w:instrText xml:space="preserve"> REF _Ref105171908 \h </w:instrText>
      </w:r>
      <w:r w:rsidRPr="00CF0DF4">
        <w:rPr>
          <w:lang w:val="en-US"/>
        </w:rPr>
      </w:r>
      <w:r w:rsidRPr="00CF0DF4">
        <w:rPr>
          <w:lang w:val="en-US"/>
        </w:rPr>
        <w:fldChar w:fldCharType="separate"/>
      </w:r>
      <w:r w:rsidR="00DB4BE3" w:rsidRPr="00CF0DF4">
        <w:t xml:space="preserve">Figure </w:t>
      </w:r>
      <w:r w:rsidR="00DB4BE3">
        <w:rPr>
          <w:noProof/>
        </w:rPr>
        <w:t>12</w:t>
      </w:r>
      <w:r w:rsidRPr="00CF0DF4">
        <w:rPr>
          <w:lang w:val="en-US"/>
        </w:rPr>
        <w:fldChar w:fldCharType="end"/>
      </w:r>
      <w:r w:rsidRPr="00CF0DF4">
        <w:rPr>
          <w:lang w:val="en-US"/>
        </w:rPr>
        <w:t xml:space="preserve">). Of the other thirteen cases between 95 percent and 100 percent relative humidity, both parameters overall increase through the melting </w:t>
      </w:r>
      <w:r w:rsidRPr="00CF0DF4">
        <w:rPr>
          <w:lang w:val="en-US"/>
        </w:rPr>
        <w:lastRenderedPageBreak/>
        <w:t>layer in eight cases compared to both parameters decreasing in just one case. In the remaining four cases, the parameters vary.</w:t>
      </w:r>
    </w:p>
    <w:p w14:paraId="2C0EB258"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1FFF2231" wp14:editId="19CF6F3F">
            <wp:extent cx="5905500" cy="5076825"/>
            <wp:effectExtent l="0" t="0" r="0" b="952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4ADCB365" w14:textId="5A34D72C" w:rsidR="00317ACF" w:rsidRPr="00CF0DF4" w:rsidRDefault="00317ACF" w:rsidP="00317ACF">
      <w:pPr>
        <w:pStyle w:val="Caption-Figure"/>
      </w:pPr>
      <w:bookmarkStart w:id="94" w:name="_Ref105567594"/>
      <w:bookmarkStart w:id="95" w:name="_Toc109123131"/>
      <w:r w:rsidRPr="00CF0DF4">
        <w:t xml:space="preserve">Figure </w:t>
      </w:r>
      <w:r w:rsidRPr="00CF0DF4">
        <w:fldChar w:fldCharType="begin"/>
      </w:r>
      <w:r w:rsidRPr="00CF0DF4">
        <w:instrText>SEQ Figure \* ARABIC</w:instrText>
      </w:r>
      <w:r w:rsidRPr="00CF0DF4">
        <w:fldChar w:fldCharType="separate"/>
      </w:r>
      <w:r w:rsidR="00DB4BE3">
        <w:rPr>
          <w:noProof/>
        </w:rPr>
        <w:t>18</w:t>
      </w:r>
      <w:r w:rsidRPr="00CF0DF4">
        <w:fldChar w:fldCharType="end"/>
      </w:r>
      <w:bookmarkEnd w:id="94"/>
      <w:r w:rsidRPr="00CF0DF4">
        <w:rPr>
          <w:noProof/>
        </w:rPr>
        <w:t>:</w:t>
      </w:r>
      <w:r w:rsidRPr="00CF0DF4">
        <w:t xml:space="preserve"> </w:t>
      </w:r>
      <w:r w:rsidR="00F5188B" w:rsidRPr="00CF0DF4">
        <w:t xml:space="preserve">Plots </w:t>
      </w:r>
      <w:proofErr w:type="gramStart"/>
      <w:r w:rsidR="00F5188B">
        <w:t>similar to</w:t>
      </w:r>
      <w:proofErr w:type="gramEnd"/>
      <w:r w:rsidR="00F5188B">
        <w:t xml:space="preserve">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w:t>
      </w:r>
      <w:r w:rsidRPr="00CF0DF4">
        <w:t>OLYMPEX_Ram-Des_98RHa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5"/>
    </w:p>
    <w:p w14:paraId="0FDB0E96" w14:textId="523A47E9" w:rsidR="00317ACF" w:rsidRPr="00CF0DF4" w:rsidRDefault="00317ACF" w:rsidP="00317ACF">
      <w:pPr>
        <w:pStyle w:val="Body"/>
        <w:ind w:firstLine="720"/>
        <w:rPr>
          <w:lang w:val="en-US"/>
        </w:rPr>
      </w:pPr>
      <w:r w:rsidRPr="00CF0DF4">
        <w:rPr>
          <w:rFonts w:eastAsia="Times New Roman" w:cs="Times New Roman"/>
          <w:lang w:val="en-US"/>
        </w:rPr>
        <w:t xml:space="preserve">The IPHEX_Spi-Asc_100RH melting layer has lower total concentration than </w:t>
      </w:r>
      <w:proofErr w:type="gramStart"/>
      <w:r w:rsidRPr="00CF0DF4">
        <w:rPr>
          <w:rFonts w:eastAsia="Times New Roman" w:cs="Times New Roman"/>
          <w:lang w:val="en-US"/>
        </w:rPr>
        <w:t>all of</w:t>
      </w:r>
      <w:proofErr w:type="gramEnd"/>
      <w:r w:rsidRPr="00CF0DF4">
        <w:rPr>
          <w:rFonts w:eastAsia="Times New Roman" w:cs="Times New Roman"/>
          <w:lang w:val="en-US"/>
        </w:rPr>
        <w:t xml:space="preserve"> the other cases, especially for </w:t>
      </w:r>
      <w:r w:rsidR="00781424">
        <w:rPr>
          <w:rFonts w:eastAsia="Times New Roman" w:cs="Times New Roman"/>
          <w:lang w:val="en-US"/>
        </w:rPr>
        <w:t>hydrometeors</w:t>
      </w:r>
      <w:r w:rsidRPr="00CF0DF4">
        <w:rPr>
          <w:rFonts w:eastAsia="Times New Roman" w:cs="Times New Roman"/>
          <w:lang w:val="en-US"/>
        </w:rPr>
        <w:t xml:space="preserve"> smaller than 1,000 µm (</w:t>
      </w:r>
      <w:r w:rsidRPr="00CF0DF4">
        <w:rPr>
          <w:rFonts w:eastAsia="Times New Roman" w:cs="Times New Roman"/>
          <w:lang w:val="en-US"/>
        </w:rPr>
        <w:fldChar w:fldCharType="begin"/>
      </w:r>
      <w:r w:rsidRPr="00CF0DF4">
        <w:rPr>
          <w:rFonts w:eastAsia="Times New Roman" w:cs="Times New Roman"/>
          <w:lang w:val="en-US"/>
        </w:rPr>
        <w:instrText xml:space="preserve"> REF _Ref105740989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19</w:t>
      </w:r>
      <w:r w:rsidRPr="00CF0DF4">
        <w:rPr>
          <w:rFonts w:eastAsia="Times New Roman" w:cs="Times New Roman"/>
          <w:lang w:val="en-US"/>
        </w:rPr>
        <w:fldChar w:fldCharType="end"/>
      </w:r>
      <w:r w:rsidRPr="00CF0DF4">
        <w:rPr>
          <w:rFonts w:eastAsia="Times New Roman" w:cs="Times New Roman"/>
          <w:lang w:val="en-US"/>
        </w:rPr>
        <w:t xml:space="preserve">). Additionally, the area ratio is generally higher than other cases. Nevertheless, area ratio noticeably increases towards the melting layer bottom for larger </w:t>
      </w:r>
      <w:r w:rsidR="00781424">
        <w:rPr>
          <w:rFonts w:eastAsia="Times New Roman" w:cs="Times New Roman"/>
          <w:lang w:val="en-US"/>
        </w:rPr>
        <w:t>hydrometeors</w:t>
      </w:r>
      <w:r w:rsidRPr="00CF0DF4">
        <w:rPr>
          <w:rFonts w:eastAsia="Times New Roman" w:cs="Times New Roman"/>
          <w:lang w:val="en-US"/>
        </w:rPr>
        <w:t>. Where concentration is low, approximately 10</w:t>
      </w:r>
      <w:r w:rsidRPr="00CF0DF4">
        <w:rPr>
          <w:rFonts w:eastAsia="Times New Roman" w:cs="Times New Roman"/>
          <w:vertAlign w:val="superscript"/>
          <w:lang w:val="en-US"/>
        </w:rPr>
        <w:t>5</w:t>
      </w:r>
      <w:r w:rsidRPr="00CF0DF4">
        <w:rPr>
          <w:rFonts w:eastAsia="Times New Roman" w:cs="Times New Roman"/>
          <w:lang w:val="en-US"/>
        </w:rPr>
        <w:t xml:space="preserve"> #/m</w:t>
      </w:r>
      <w:r w:rsidRPr="00CF0DF4">
        <w:rPr>
          <w:rFonts w:eastAsia="Times New Roman" w:cs="Times New Roman"/>
          <w:vertAlign w:val="superscript"/>
          <w:lang w:val="en-US"/>
        </w:rPr>
        <w:t>4</w:t>
      </w:r>
      <w:r w:rsidRPr="00CF0DF4">
        <w:rPr>
          <w:rFonts w:eastAsia="Times New Roman" w:cs="Times New Roman"/>
          <w:lang w:val="en-US"/>
        </w:rPr>
        <w:t xml:space="preserve"> and less, the area ratio is high, even for frozen </w:t>
      </w:r>
      <w:r w:rsidR="00781424">
        <w:rPr>
          <w:rFonts w:eastAsia="Times New Roman" w:cs="Times New Roman"/>
          <w:lang w:val="en-US"/>
        </w:rPr>
        <w:t>hydrometeors</w:t>
      </w:r>
      <w:r w:rsidRPr="00CF0DF4">
        <w:rPr>
          <w:rFonts w:eastAsia="Times New Roman" w:cs="Times New Roman"/>
          <w:lang w:val="en-US"/>
        </w:rPr>
        <w:t xml:space="preserve">. The </w:t>
      </w:r>
      <w:r w:rsidR="001D3AF5">
        <w:rPr>
          <w:rFonts w:eastAsia="Times New Roman" w:cs="Times New Roman"/>
          <w:lang w:val="en-US"/>
        </w:rPr>
        <w:t>larger</w:t>
      </w:r>
      <w:r w:rsidRPr="00CF0DF4">
        <w:rPr>
          <w:rFonts w:eastAsia="Times New Roman" w:cs="Times New Roman"/>
          <w:lang w:val="en-US"/>
        </w:rPr>
        <w:t xml:space="preserve"> than expected area ratio </w:t>
      </w:r>
      <w:r w:rsidRPr="00CF0DF4">
        <w:rPr>
          <w:rFonts w:eastAsia="Times New Roman" w:cs="Times New Roman"/>
          <w:lang w:val="en-US"/>
        </w:rPr>
        <w:lastRenderedPageBreak/>
        <w:t xml:space="preserve">values suggests that high concentration values are important to accurately measure the area ratio of </w:t>
      </w:r>
      <w:r w:rsidR="00781424">
        <w:rPr>
          <w:rFonts w:eastAsia="Times New Roman" w:cs="Times New Roman"/>
          <w:lang w:val="en-US"/>
        </w:rPr>
        <w:t>hydrometeors</w:t>
      </w:r>
      <w:r w:rsidRPr="00CF0DF4">
        <w:rPr>
          <w:rFonts w:eastAsia="Times New Roman" w:cs="Times New Roman"/>
          <w:lang w:val="en-US"/>
        </w:rPr>
        <w:t xml:space="preserve">. </w:t>
      </w:r>
      <w:r w:rsidR="006E683C">
        <w:rPr>
          <w:rFonts w:eastAsia="Times New Roman" w:cs="Times New Roman"/>
          <w:lang w:val="en-US"/>
        </w:rPr>
        <w:t>Contrary to expectation</w:t>
      </w:r>
      <w:r w:rsidR="0023569A">
        <w:rPr>
          <w:rFonts w:eastAsia="Times New Roman" w:cs="Times New Roman"/>
          <w:lang w:val="en-US"/>
        </w:rPr>
        <w:t>s</w:t>
      </w:r>
      <w:r w:rsidRPr="00CF0DF4">
        <w:rPr>
          <w:rFonts w:eastAsia="Times New Roman" w:cs="Times New Roman"/>
          <w:lang w:val="en-US"/>
        </w:rPr>
        <w:t xml:space="preserve">, there are lower area ratio values below the melting layer, associated with a large increase in concentration of </w:t>
      </w:r>
      <w:r w:rsidR="00781424">
        <w:rPr>
          <w:rFonts w:eastAsia="Times New Roman" w:cs="Times New Roman"/>
          <w:lang w:val="en-US"/>
        </w:rPr>
        <w:t>hydrometeors</w:t>
      </w:r>
      <w:r w:rsidRPr="00CF0DF4">
        <w:rPr>
          <w:rFonts w:eastAsia="Times New Roman" w:cs="Times New Roman"/>
          <w:lang w:val="en-US"/>
        </w:rPr>
        <w:t xml:space="preserve"> that are 700 µm and smaller. Despite low concentration values, there is a peak in maximum diameter in the middle of the melting layer suggesting aggregation may be occurring; however, there are two additional distinct peaks, one above the melting layer and one below. These peaks in maximum diameter may be a result o</w:t>
      </w:r>
      <w:r w:rsidRPr="00CF0DF4">
        <w:rPr>
          <w:lang w:val="en-US"/>
        </w:rPr>
        <w:t>f the aircraft encountering inhomogeneities in the cloud during its spiral, rather than a direct result of the melting layer.</w:t>
      </w:r>
    </w:p>
    <w:p w14:paraId="61CB470A"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45EB7544" wp14:editId="74FE8013">
            <wp:extent cx="5895975" cy="2830570"/>
            <wp:effectExtent l="0" t="0" r="0" b="825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4E712D76" w14:textId="7B20557D" w:rsidR="00317ACF" w:rsidRPr="00CF0DF4" w:rsidRDefault="00317ACF" w:rsidP="00317ACF">
      <w:pPr>
        <w:pStyle w:val="Caption-Figure"/>
      </w:pPr>
      <w:bookmarkStart w:id="96" w:name="_Ref105740989"/>
      <w:bookmarkStart w:id="97" w:name="_Toc109123132"/>
      <w:r w:rsidRPr="00CF0DF4">
        <w:t xml:space="preserve">Figure </w:t>
      </w:r>
      <w:r w:rsidRPr="00CF0DF4">
        <w:fldChar w:fldCharType="begin"/>
      </w:r>
      <w:r w:rsidRPr="00CF0DF4">
        <w:instrText>SEQ Figure \* ARABIC</w:instrText>
      </w:r>
      <w:r w:rsidRPr="00CF0DF4">
        <w:fldChar w:fldCharType="separate"/>
      </w:r>
      <w:r w:rsidR="00DB4BE3">
        <w:rPr>
          <w:noProof/>
        </w:rPr>
        <w:t>19</w:t>
      </w:r>
      <w:r w:rsidRPr="00CF0DF4">
        <w:fldChar w:fldCharType="end"/>
      </w:r>
      <w:bookmarkEnd w:id="96"/>
      <w:r w:rsidRPr="00CF0DF4">
        <w:t xml:space="preserve">: </w:t>
      </w:r>
      <w:r w:rsidR="001500B3" w:rsidRPr="00CF0DF4">
        <w:t xml:space="preserve">Plots </w:t>
      </w:r>
      <w:proofErr w:type="gramStart"/>
      <w:r w:rsidR="001500B3" w:rsidRPr="00CF0DF4">
        <w:t>similar to</w:t>
      </w:r>
      <w:proofErr w:type="gramEnd"/>
      <w:r w:rsidR="001500B3" w:rsidRPr="00CF0DF4">
        <w:t xml:space="preserve"> </w:t>
      </w:r>
      <w:r w:rsidR="001500B3" w:rsidRPr="00CF0DF4">
        <w:rPr>
          <w:rFonts w:eastAsia="Times New Roman" w:cs="Times New Roman"/>
        </w:rPr>
        <w:fldChar w:fldCharType="begin"/>
      </w:r>
      <w:r w:rsidR="001500B3" w:rsidRPr="00CF0DF4">
        <w:rPr>
          <w:rFonts w:eastAsia="Times New Roman" w:cs="Times New Roman"/>
        </w:rPr>
        <w:instrText xml:space="preserve"> REF _Ref107235029 \h </w:instrText>
      </w:r>
      <w:r w:rsidR="001500B3" w:rsidRPr="00CF0DF4">
        <w:rPr>
          <w:rFonts w:eastAsia="Times New Roman" w:cs="Times New Roman"/>
        </w:rPr>
      </w:r>
      <w:r w:rsidR="001500B3" w:rsidRPr="00CF0DF4">
        <w:rPr>
          <w:rFonts w:eastAsia="Times New Roman" w:cs="Times New Roman"/>
        </w:rPr>
        <w:fldChar w:fldCharType="separate"/>
      </w:r>
      <w:r w:rsidR="00DB4BE3" w:rsidRPr="00CF0DF4">
        <w:t xml:space="preserve">Figure </w:t>
      </w:r>
      <w:r w:rsidR="00DB4BE3">
        <w:rPr>
          <w:noProof/>
        </w:rPr>
        <w:t>11</w:t>
      </w:r>
      <w:r w:rsidR="001500B3" w:rsidRPr="00CF0DF4">
        <w:rPr>
          <w:rFonts w:eastAsia="Times New Roman" w:cs="Times New Roman"/>
        </w:rPr>
        <w:fldChar w:fldCharType="end"/>
      </w:r>
      <w:r w:rsidR="001500B3" w:rsidRPr="00CF0DF4">
        <w:t xml:space="preserve">, except for showing the melting layer for the </w:t>
      </w:r>
      <w:r w:rsidRPr="00CF0DF4">
        <w:t>IPHEX_Spi-Asc_100RH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7"/>
    </w:p>
    <w:p w14:paraId="66E9F81C" w14:textId="5C03BDB1" w:rsidR="00317ACF" w:rsidRPr="00CF0DF4" w:rsidRDefault="00317ACF" w:rsidP="00317ACF">
      <w:pPr>
        <w:pStyle w:val="Body"/>
        <w:rPr>
          <w:rFonts w:eastAsia="Times New Roman" w:cs="Times New Roman"/>
          <w:lang w:val="en-US"/>
        </w:rPr>
      </w:pPr>
      <w:r w:rsidRPr="00CF0DF4">
        <w:rPr>
          <w:lang w:val="en-US"/>
        </w:rPr>
        <w:t xml:space="preserve">Two of the four melting layer cases with relative humidity between 90 and 95 percent (OLYMPEX_Ram-Des_91RH, OLYMPEX_Ram-Des_92RH) are </w:t>
      </w:r>
      <w:proofErr w:type="gramStart"/>
      <w:r w:rsidRPr="00CF0DF4">
        <w:rPr>
          <w:lang w:val="en-US"/>
        </w:rPr>
        <w:t>similar to</w:t>
      </w:r>
      <w:proofErr w:type="gramEnd"/>
      <w:r w:rsidRPr="00CF0DF4">
        <w:rPr>
          <w:lang w:val="en-US"/>
        </w:rPr>
        <w:t xml:space="preserve"> cases with </w:t>
      </w:r>
      <w:r w:rsidR="00684E61">
        <w:rPr>
          <w:lang w:val="en-US"/>
        </w:rPr>
        <w:t>higher</w:t>
      </w:r>
      <w:r w:rsidRPr="00CF0DF4">
        <w:rPr>
          <w:lang w:val="en-US"/>
        </w:rPr>
        <w:t xml:space="preserve"> relative humidity, while the remaining two (IPHEX_Ram-Asc_92RH, IMPACTS_Spi-Des_94RH) differ. During IPHEX_Ram-Asc_92RH, the aircraft exits the cloud just below the melting layer bottom. Although concentration is above the </w:t>
      </w:r>
      <w:r w:rsidRPr="00CF0DF4">
        <w:rPr>
          <w:rFonts w:eastAsia="Times New Roman" w:cs="Times New Roman"/>
          <w:lang w:val="en-US"/>
        </w:rPr>
        <w:t>10</w:t>
      </w:r>
      <w:r w:rsidRPr="00CF0DF4">
        <w:rPr>
          <w:rFonts w:eastAsia="Times New Roman" w:cs="Times New Roman"/>
          <w:vertAlign w:val="superscript"/>
          <w:lang w:val="en-US"/>
        </w:rPr>
        <w:t>3</w:t>
      </w:r>
      <w:r w:rsidRPr="00CF0DF4">
        <w:rPr>
          <w:rFonts w:eastAsia="Times New Roman" w:cs="Times New Roman"/>
          <w:lang w:val="en-US"/>
        </w:rPr>
        <w:t xml:space="preserve"> #/m</w:t>
      </w:r>
      <w:r w:rsidRPr="00CF0DF4">
        <w:rPr>
          <w:rFonts w:eastAsia="Times New Roman" w:cs="Times New Roman"/>
          <w:vertAlign w:val="superscript"/>
          <w:lang w:val="en-US"/>
        </w:rPr>
        <w:t>4</w:t>
      </w:r>
      <w:r w:rsidRPr="00CF0DF4">
        <w:rPr>
          <w:rFonts w:eastAsia="Times New Roman" w:cs="Times New Roman"/>
          <w:lang w:val="en-US"/>
        </w:rPr>
        <w:t xml:space="preserve"> concentration threshold for a cloud through the entire melting layer depth, the maximum diameter rapidly decreases towards the melting layer </w:t>
      </w:r>
      <w:r w:rsidRPr="00CF0DF4">
        <w:rPr>
          <w:rFonts w:eastAsia="Times New Roman" w:cs="Times New Roman"/>
          <w:lang w:val="en-US"/>
        </w:rPr>
        <w:lastRenderedPageBreak/>
        <w:t>bottom despite no significant changes in relative humidity (</w:t>
      </w:r>
      <w:r w:rsidRPr="00CF0DF4">
        <w:rPr>
          <w:rFonts w:eastAsia="Times New Roman" w:cs="Times New Roman"/>
          <w:lang w:val="en-US"/>
        </w:rPr>
        <w:fldChar w:fldCharType="begin"/>
      </w:r>
      <w:r w:rsidRPr="00CF0DF4">
        <w:rPr>
          <w:rFonts w:eastAsia="Times New Roman" w:cs="Times New Roman"/>
          <w:lang w:val="en-US"/>
        </w:rPr>
        <w:instrText xml:space="preserve"> REF _Ref105742587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20</w:t>
      </w:r>
      <w:r w:rsidRPr="00CF0DF4">
        <w:rPr>
          <w:rFonts w:eastAsia="Times New Roman" w:cs="Times New Roman"/>
          <w:lang w:val="en-US"/>
        </w:rPr>
        <w:fldChar w:fldCharType="end"/>
      </w:r>
      <w:r w:rsidRPr="00CF0DF4">
        <w:rPr>
          <w:rFonts w:eastAsia="Times New Roman" w:cs="Times New Roman"/>
          <w:lang w:val="en-US"/>
        </w:rPr>
        <w:t xml:space="preserve">). Starting approximately 80 m below the melting layer bottom, no </w:t>
      </w:r>
      <w:r w:rsidR="00781424">
        <w:rPr>
          <w:rFonts w:eastAsia="Times New Roman" w:cs="Times New Roman"/>
          <w:lang w:val="en-US"/>
        </w:rPr>
        <w:t>hydrometeors</w:t>
      </w:r>
      <w:r w:rsidRPr="00CF0DF4">
        <w:rPr>
          <w:rFonts w:eastAsia="Times New Roman" w:cs="Times New Roman"/>
          <w:lang w:val="en-US"/>
        </w:rPr>
        <w:t xml:space="preserve"> are detected in a roughly 200 m thick layer. Still, the IPHEX_Ram-Asc_92RH melting layer presents an increase in area ratio for </w:t>
      </w:r>
      <w:r w:rsidR="00781424">
        <w:rPr>
          <w:rFonts w:eastAsia="Times New Roman" w:cs="Times New Roman"/>
          <w:lang w:val="en-US"/>
        </w:rPr>
        <w:t>hydrometeors</w:t>
      </w:r>
      <w:r w:rsidRPr="00CF0DF4">
        <w:rPr>
          <w:rFonts w:eastAsia="Times New Roman" w:cs="Times New Roman"/>
          <w:lang w:val="en-US"/>
        </w:rPr>
        <w:t xml:space="preserve"> about 1,000 µm and smaller.</w:t>
      </w:r>
    </w:p>
    <w:p w14:paraId="38E027C2" w14:textId="77777777" w:rsidR="00317ACF" w:rsidRPr="00CF0DF4" w:rsidRDefault="00317ACF" w:rsidP="00317ACF">
      <w:pPr>
        <w:pStyle w:val="Figure"/>
        <w:rPr>
          <w:lang w:val="en-US"/>
        </w:rPr>
      </w:pPr>
      <w:r w:rsidRPr="00CF0DF4">
        <w:rPr>
          <w:noProof/>
          <w:lang w:val="en-US" w:eastAsia="en-US" w:bidi="ar-SA"/>
        </w:rPr>
        <w:drawing>
          <wp:inline distT="0" distB="0" distL="0" distR="0" wp14:anchorId="628458F4" wp14:editId="0A5572D1">
            <wp:extent cx="5895975" cy="2830570"/>
            <wp:effectExtent l="0" t="0" r="0" b="8255"/>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0A62124D" w14:textId="52D3A88A" w:rsidR="00317ACF" w:rsidRPr="00CF0DF4" w:rsidRDefault="00317ACF" w:rsidP="00317ACF">
      <w:pPr>
        <w:pStyle w:val="Caption-Figure"/>
      </w:pPr>
      <w:bookmarkStart w:id="98" w:name="_Ref105742587"/>
      <w:bookmarkStart w:id="99" w:name="_Toc109123133"/>
      <w:r w:rsidRPr="00CF0DF4">
        <w:t xml:space="preserve">Figure </w:t>
      </w:r>
      <w:r w:rsidRPr="00CF0DF4">
        <w:fldChar w:fldCharType="begin"/>
      </w:r>
      <w:r w:rsidRPr="00CF0DF4">
        <w:instrText>SEQ Figure \* ARABIC</w:instrText>
      </w:r>
      <w:r w:rsidRPr="00CF0DF4">
        <w:fldChar w:fldCharType="separate"/>
      </w:r>
      <w:r w:rsidR="00DB4BE3">
        <w:rPr>
          <w:noProof/>
        </w:rPr>
        <w:t>20</w:t>
      </w:r>
      <w:r w:rsidRPr="00CF0DF4">
        <w:fldChar w:fldCharType="end"/>
      </w:r>
      <w:bookmarkEnd w:id="98"/>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IPHEX_Ram-Asc_92RH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9"/>
    </w:p>
    <w:p w14:paraId="6F64B8C3" w14:textId="44EF619B" w:rsidR="00317ACF" w:rsidRPr="00CF0DF4" w:rsidRDefault="00317ACF" w:rsidP="00317ACF">
      <w:pPr>
        <w:pStyle w:val="Body"/>
        <w:rPr>
          <w:rFonts w:eastAsia="Times New Roman" w:cs="Times New Roman"/>
          <w:lang w:val="en-US"/>
        </w:rPr>
      </w:pPr>
      <w:r w:rsidRPr="00CF0DF4">
        <w:rPr>
          <w:lang w:val="en-US"/>
        </w:rPr>
        <w:t xml:space="preserve">Even though the relative humidity is 93.7 percent, IMPACTS_Spi-Des_94RH has the most significantly increased aggregation in the melting layer. From above the melting layer to the top, maximum diameter is approximately 3,000 </w:t>
      </w:r>
      <w:r w:rsidRPr="00CF0DF4">
        <w:rPr>
          <w:rFonts w:eastAsia="Times New Roman" w:cs="Times New Roman"/>
          <w:lang w:val="en-US"/>
        </w:rPr>
        <w:t>µm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rFonts w:eastAsia="Times New Roman" w:cs="Times New Roman"/>
          <w:lang w:val="en-US"/>
        </w:rPr>
        <w:t xml:space="preserve">). The maximum diameter increases until </w:t>
      </w:r>
      <w:r w:rsidR="00C03367" w:rsidRPr="00CF0DF4">
        <w:rPr>
          <w:rFonts w:eastAsia="Times New Roman" w:cs="Times New Roman"/>
          <w:lang w:val="en-US"/>
        </w:rPr>
        <w:t>approximately</w:t>
      </w:r>
      <w:r w:rsidRPr="00CF0DF4">
        <w:rPr>
          <w:rFonts w:eastAsia="Times New Roman" w:cs="Times New Roman"/>
          <w:lang w:val="en-US"/>
        </w:rPr>
        <w:t xml:space="preserve"> 250 m below the melting layer top, where it peaks at 18,000 µm in a</w:t>
      </w:r>
      <w:r w:rsidR="00C03367" w:rsidRPr="00CF0DF4">
        <w:rPr>
          <w:rFonts w:eastAsia="Times New Roman" w:cs="Times New Roman"/>
          <w:lang w:val="en-US"/>
        </w:rPr>
        <w:t>n approximately</w:t>
      </w:r>
      <w:r w:rsidRPr="00CF0DF4">
        <w:rPr>
          <w:rFonts w:eastAsia="Times New Roman" w:cs="Times New Roman"/>
          <w:lang w:val="en-US"/>
        </w:rPr>
        <w:t xml:space="preserve">150 m thick layer. In the 100 m thick layer towards the melting layer bottom, maximum diameter decreases back to 3,000 µm. The area ratio of the largest </w:t>
      </w:r>
      <w:r w:rsidR="00781424">
        <w:rPr>
          <w:rFonts w:eastAsia="Times New Roman" w:cs="Times New Roman"/>
          <w:lang w:val="en-US"/>
        </w:rPr>
        <w:t>hydrometeors</w:t>
      </w:r>
      <w:r w:rsidRPr="00CF0DF4">
        <w:rPr>
          <w:rFonts w:eastAsia="Times New Roman" w:cs="Times New Roman"/>
          <w:lang w:val="en-US"/>
        </w:rPr>
        <w:t xml:space="preserve"> above the aggregation layer is approximately 0.1-0.2. In the aggregation layer, area ratio of the largest </w:t>
      </w:r>
      <w:r w:rsidR="00781424">
        <w:rPr>
          <w:rFonts w:eastAsia="Times New Roman" w:cs="Times New Roman"/>
          <w:lang w:val="en-US"/>
        </w:rPr>
        <w:t>hydrometeors</w:t>
      </w:r>
      <w:r w:rsidRPr="00CF0DF4">
        <w:rPr>
          <w:rFonts w:eastAsia="Times New Roman" w:cs="Times New Roman"/>
          <w:lang w:val="en-US"/>
        </w:rPr>
        <w:t xml:space="preserve"> is approximately 0.3-0.5. There is an initial increase in area ratio of the smallest </w:t>
      </w:r>
      <w:r w:rsidR="00781424">
        <w:rPr>
          <w:rFonts w:eastAsia="Times New Roman" w:cs="Times New Roman"/>
          <w:lang w:val="en-US"/>
        </w:rPr>
        <w:t>hydrometeors</w:t>
      </w:r>
      <w:r w:rsidRPr="00CF0DF4">
        <w:rPr>
          <w:rFonts w:eastAsia="Times New Roman" w:cs="Times New Roman"/>
          <w:lang w:val="en-US"/>
        </w:rPr>
        <w:t xml:space="preserve"> with 500 µm diameter by 0.1 just below the melting layer top. By 200 m below the melting layer top, area ratio increases from the smallest to largest </w:t>
      </w:r>
      <w:r w:rsidR="00781424">
        <w:rPr>
          <w:rFonts w:eastAsia="Times New Roman" w:cs="Times New Roman"/>
          <w:lang w:val="en-US"/>
        </w:rPr>
        <w:t>hydrometeors</w:t>
      </w:r>
      <w:r w:rsidRPr="00CF0DF4">
        <w:rPr>
          <w:rFonts w:eastAsia="Times New Roman" w:cs="Times New Roman"/>
          <w:lang w:val="en-US"/>
        </w:rPr>
        <w:t xml:space="preserve">, in the middle of </w:t>
      </w:r>
      <w:r w:rsidRPr="00CF0DF4">
        <w:rPr>
          <w:rFonts w:eastAsia="Times New Roman" w:cs="Times New Roman"/>
          <w:lang w:val="en-US"/>
        </w:rPr>
        <w:lastRenderedPageBreak/>
        <w:t xml:space="preserve">the aggregation layer. As maximum diameter decreases, area ratio increases until the melting layer bottom where </w:t>
      </w:r>
      <w:r w:rsidR="00781424">
        <w:rPr>
          <w:rFonts w:eastAsia="Times New Roman" w:cs="Times New Roman"/>
          <w:lang w:val="en-US"/>
        </w:rPr>
        <w:t>hydrometeors</w:t>
      </w:r>
      <w:r w:rsidRPr="00CF0DF4">
        <w:rPr>
          <w:rFonts w:eastAsia="Times New Roman" w:cs="Times New Roman"/>
          <w:lang w:val="en-US"/>
        </w:rPr>
        <w:t xml:space="preserve"> have an area ratio of approximately 0.6-0.7.</w:t>
      </w:r>
    </w:p>
    <w:p w14:paraId="0610F1CD" w14:textId="77777777" w:rsidR="00317ACF" w:rsidRPr="00CF0DF4" w:rsidRDefault="00317ACF" w:rsidP="00317ACF">
      <w:pPr>
        <w:pStyle w:val="Figure"/>
        <w:rPr>
          <w:lang w:val="en-US"/>
        </w:rPr>
      </w:pPr>
      <w:r w:rsidRPr="00CF0DF4">
        <w:rPr>
          <w:noProof/>
          <w:lang w:val="en-US" w:eastAsia="en-US" w:bidi="ar-SA"/>
        </w:rPr>
        <w:drawing>
          <wp:inline distT="0" distB="0" distL="0" distR="0" wp14:anchorId="0B227E2A" wp14:editId="454EDA9D">
            <wp:extent cx="5895975" cy="2830570"/>
            <wp:effectExtent l="0" t="0" r="0" b="825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5318FABF" w14:textId="163E6948" w:rsidR="00317ACF" w:rsidRPr="00CF0DF4" w:rsidRDefault="00317ACF" w:rsidP="00317ACF">
      <w:pPr>
        <w:pStyle w:val="Caption-Figure"/>
        <w:rPr>
          <w:rFonts w:eastAsia="Times New Roman" w:cs="Times New Roman"/>
        </w:rPr>
      </w:pPr>
      <w:bookmarkStart w:id="100" w:name="_Ref105742590"/>
      <w:bookmarkStart w:id="101" w:name="_Toc109123134"/>
      <w:r w:rsidRPr="00CF0DF4">
        <w:t xml:space="preserve">Figure </w:t>
      </w:r>
      <w:r w:rsidRPr="00CF0DF4">
        <w:fldChar w:fldCharType="begin"/>
      </w:r>
      <w:r w:rsidRPr="00CF0DF4">
        <w:instrText>SEQ Figure \* ARABIC</w:instrText>
      </w:r>
      <w:r w:rsidRPr="00CF0DF4">
        <w:fldChar w:fldCharType="separate"/>
      </w:r>
      <w:r w:rsidR="00DB4BE3">
        <w:rPr>
          <w:noProof/>
        </w:rPr>
        <w:t>21</w:t>
      </w:r>
      <w:r w:rsidRPr="00CF0DF4">
        <w:fldChar w:fldCharType="end"/>
      </w:r>
      <w:bookmarkEnd w:id="100"/>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IMPACTS_Spi-Des_94RH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1"/>
    </w:p>
    <w:p w14:paraId="005850D9" w14:textId="1269A68F" w:rsidR="00317ACF" w:rsidRPr="00CF0DF4" w:rsidRDefault="00317ACF" w:rsidP="00317ACF">
      <w:pPr>
        <w:pStyle w:val="Body"/>
        <w:rPr>
          <w:lang w:val="en-US"/>
        </w:rPr>
      </w:pPr>
      <w:r w:rsidRPr="00CF0DF4">
        <w:rPr>
          <w:rFonts w:eastAsia="Times New Roman" w:cs="Times New Roman"/>
          <w:lang w:val="en-US"/>
        </w:rPr>
        <w:t xml:space="preserve">From the exponentially fitted size distribution for IM1, the slope parameter is </w:t>
      </w:r>
      <w:proofErr w:type="gramStart"/>
      <w:r w:rsidRPr="00CF0DF4">
        <w:rPr>
          <w:rFonts w:eastAsia="Times New Roman" w:cs="Times New Roman"/>
          <w:lang w:val="en-US"/>
        </w:rPr>
        <w:t>fairly consistent</w:t>
      </w:r>
      <w:proofErr w:type="gramEnd"/>
      <w:r w:rsidRPr="00CF0DF4">
        <w:rPr>
          <w:rFonts w:eastAsia="Times New Roman" w:cs="Times New Roman"/>
          <w:lang w:val="en-US"/>
        </w:rPr>
        <w:t xml:space="preserve"> throughout besides two large spikes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rFonts w:eastAsia="Times New Roman" w:cs="Times New Roman"/>
          <w:lang w:val="en-US"/>
        </w:rPr>
        <w:t xml:space="preserve">). Above the melting layer, the slope parameter increases by approximately 0.5 </w:t>
      </w:r>
      <w:proofErr w:type="gramStart"/>
      <w:r w:rsidRPr="00CF0DF4">
        <w:rPr>
          <w:rFonts w:eastAsia="Times New Roman" w:cs="Times New Roman"/>
          <w:lang w:val="en-US"/>
        </w:rPr>
        <w:t>mm</w:t>
      </w:r>
      <w:r w:rsidRPr="00CF0DF4">
        <w:rPr>
          <w:rFonts w:eastAsia="Times New Roman" w:cs="Times New Roman"/>
          <w:vertAlign w:val="superscript"/>
          <w:lang w:val="en-US"/>
        </w:rPr>
        <w:t>-1</w:t>
      </w:r>
      <w:proofErr w:type="gramEnd"/>
      <w:r w:rsidRPr="00CF0DF4">
        <w:rPr>
          <w:rFonts w:eastAsia="Times New Roman" w:cs="Times New Roman"/>
          <w:lang w:val="en-US"/>
        </w:rPr>
        <w:t>, while the intercept parameter does not change much. Both parameters experience a significant spike approximately 150 m below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rFonts w:eastAsia="Times New Roman" w:cs="Times New Roman"/>
          <w:lang w:val="en-US"/>
        </w:rPr>
        <w:t xml:space="preserve">), associated with an increased concentration of small </w:t>
      </w:r>
      <w:r w:rsidR="00781424">
        <w:rPr>
          <w:rFonts w:eastAsia="Times New Roman" w:cs="Times New Roman"/>
          <w:lang w:val="en-US"/>
        </w:rPr>
        <w:t>hydrometeors</w:t>
      </w:r>
      <w:r w:rsidRPr="00CF0DF4">
        <w:rPr>
          <w:rFonts w:eastAsia="Times New Roman" w:cs="Times New Roman"/>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rFonts w:eastAsia="Times New Roman" w:cs="Times New Roman"/>
          <w:lang w:val="en-US"/>
        </w:rPr>
        <w:t xml:space="preserve">). From </w:t>
      </w:r>
      <w:r w:rsidR="00C03367" w:rsidRPr="00CF0DF4">
        <w:rPr>
          <w:rFonts w:eastAsia="Times New Roman" w:cs="Times New Roman"/>
          <w:lang w:val="en-US"/>
        </w:rPr>
        <w:t>approximately</w:t>
      </w:r>
      <w:r w:rsidRPr="00CF0DF4">
        <w:rPr>
          <w:rFonts w:eastAsia="Times New Roman" w:cs="Times New Roman"/>
          <w:lang w:val="en-US"/>
        </w:rPr>
        <w:t xml:space="preserve"> 50 m above the melting layer bottom to below the melting layer, the intercept parameter decreases by approximately an order of magnitude</w:t>
      </w:r>
      <w:r w:rsidRPr="00CF0DF4">
        <w:rPr>
          <w:lang w:val="en-US"/>
        </w:rPr>
        <w:t>, while the slope parameter decreases by approximately 1 mm</w:t>
      </w:r>
      <w:r w:rsidRPr="00CF0DF4">
        <w:rPr>
          <w:vertAlign w:val="superscript"/>
          <w:lang w:val="en-US"/>
        </w:rPr>
        <w:t>-1</w:t>
      </w:r>
      <w:r w:rsidRPr="00CF0DF4">
        <w:rPr>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lang w:val="en-US"/>
        </w:rPr>
        <w:t>). For a brief period below the first spike, both parameters experience a local minimum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lang w:val="en-US"/>
        </w:rPr>
        <w:t xml:space="preserve">) where the concentration of small </w:t>
      </w:r>
      <w:r w:rsidR="00781424">
        <w:rPr>
          <w:lang w:val="en-US"/>
        </w:rPr>
        <w:t>hydrometeors</w:t>
      </w:r>
      <w:r w:rsidRPr="00CF0DF4">
        <w:rPr>
          <w:lang w:val="en-US"/>
        </w:rPr>
        <w:t xml:space="preserve"> returns to similar values at the melting layer top and above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lang w:val="en-US"/>
        </w:rPr>
        <w:t xml:space="preserve">). The larger </w:t>
      </w:r>
      <w:r w:rsidR="00781424">
        <w:rPr>
          <w:lang w:val="en-US"/>
        </w:rPr>
        <w:t>hydrometeors</w:t>
      </w:r>
      <w:r w:rsidRPr="00CF0DF4">
        <w:rPr>
          <w:lang w:val="en-US"/>
        </w:rPr>
        <w:t xml:space="preserve"> likely cause the exponential fit to produce smaller intercept and slope values than the melting layer top and above.</w:t>
      </w:r>
    </w:p>
    <w:p w14:paraId="5722580B"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7D258C34" wp14:editId="2480988F">
            <wp:extent cx="5905500" cy="5076825"/>
            <wp:effectExtent l="0" t="0" r="0" b="952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5B987536" w14:textId="2C9E073F" w:rsidR="00317ACF" w:rsidRPr="00CF0DF4" w:rsidRDefault="00317ACF" w:rsidP="00317ACF">
      <w:pPr>
        <w:pStyle w:val="Caption-Figure"/>
      </w:pPr>
      <w:bookmarkStart w:id="102" w:name="_Ref105742601"/>
      <w:bookmarkStart w:id="103" w:name="_Toc109123135"/>
      <w:r w:rsidRPr="00CF0DF4">
        <w:t xml:space="preserve">Figure </w:t>
      </w:r>
      <w:r w:rsidRPr="00CF0DF4">
        <w:fldChar w:fldCharType="begin"/>
      </w:r>
      <w:r w:rsidRPr="00CF0DF4">
        <w:instrText>SEQ Figure \* ARABIC</w:instrText>
      </w:r>
      <w:r w:rsidRPr="00CF0DF4">
        <w:fldChar w:fldCharType="separate"/>
      </w:r>
      <w:r w:rsidR="00DB4BE3">
        <w:rPr>
          <w:noProof/>
        </w:rPr>
        <w:t>22</w:t>
      </w:r>
      <w:r w:rsidRPr="00CF0DF4">
        <w:fldChar w:fldCharType="end"/>
      </w:r>
      <w:bookmarkEnd w:id="102"/>
      <w:r w:rsidRPr="00CF0DF4">
        <w:rPr>
          <w:noProof/>
        </w:rPr>
        <w:t>:</w:t>
      </w:r>
      <w:r w:rsidRPr="00CF0DF4">
        <w:t xml:space="preserve"> </w:t>
      </w:r>
      <w:r w:rsidR="00F5188B" w:rsidRPr="00CF0DF4">
        <w:t xml:space="preserve">Plots </w:t>
      </w:r>
      <w:proofErr w:type="gramStart"/>
      <w:r w:rsidR="00F5188B">
        <w:t>similar to</w:t>
      </w:r>
      <w:proofErr w:type="gramEnd"/>
      <w:r w:rsidR="00F5188B">
        <w:t xml:space="preserve">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IMPACTS_Spi-Des_94RH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3"/>
    </w:p>
    <w:p w14:paraId="02D59155" w14:textId="248C3797" w:rsidR="00317ACF" w:rsidRPr="00CF0DF4" w:rsidRDefault="00317ACF" w:rsidP="00317ACF">
      <w:pPr>
        <w:pStyle w:val="Body"/>
        <w:rPr>
          <w:lang w:val="en-US"/>
        </w:rPr>
      </w:pPr>
      <w:r w:rsidRPr="00CF0DF4">
        <w:rPr>
          <w:lang w:val="en-US"/>
        </w:rPr>
        <w:t>Two of the high relative humidity melting layers exhibit a nearby 0 °C quasi-isothermal layer. During IMPACTS_Ram-Asc_95RH, there is an approximately 400 m deep layer of near 0 °C air temperature (</w:t>
      </w:r>
      <w:r w:rsidRPr="00CF0DF4">
        <w:rPr>
          <w:lang w:val="en-US"/>
        </w:rPr>
        <w:fldChar w:fldCharType="begin"/>
      </w:r>
      <w:r w:rsidRPr="00CF0DF4">
        <w:rPr>
          <w:lang w:val="en-US"/>
        </w:rPr>
        <w:instrText xml:space="preserve"> REF _Ref106429289 \h </w:instrText>
      </w:r>
      <w:r w:rsidRPr="00CF0DF4">
        <w:rPr>
          <w:lang w:val="en-US"/>
        </w:rPr>
      </w:r>
      <w:r w:rsidRPr="00CF0DF4">
        <w:rPr>
          <w:lang w:val="en-US"/>
        </w:rPr>
        <w:fldChar w:fldCharType="separate"/>
      </w:r>
      <w:r w:rsidR="00DB4BE3" w:rsidRPr="00CF0DF4">
        <w:t xml:space="preserve">Figure </w:t>
      </w:r>
      <w:r w:rsidR="00DB4BE3">
        <w:rPr>
          <w:noProof/>
        </w:rPr>
        <w:t>23</w:t>
      </w:r>
      <w:r w:rsidRPr="00CF0DF4">
        <w:rPr>
          <w:lang w:val="en-US"/>
        </w:rPr>
        <w:fldChar w:fldCharType="end"/>
      </w:r>
      <w:r w:rsidRPr="00CF0DF4">
        <w:rPr>
          <w:lang w:val="en-US"/>
        </w:rPr>
        <w:t xml:space="preserve">). In the isothermal layer, </w:t>
      </w:r>
      <w:r w:rsidR="00781424">
        <w:rPr>
          <w:lang w:val="en-US"/>
        </w:rPr>
        <w:t>hydrometeors</w:t>
      </w:r>
      <w:r w:rsidRPr="00CF0DF4">
        <w:rPr>
          <w:lang w:val="en-US"/>
        </w:rPr>
        <w:t xml:space="preserve"> are not melting yet because the ice-bulb temperature is still below 0 °C. The ice-bulb temperature slowly increases throughout the isothermal layer as relative humidity increases but does not reach 0 °C until just below the isothermal layer. Thus, unlike previous studies </w:t>
      </w:r>
      <w:r w:rsidR="00B221E1">
        <w:rPr>
          <w:lang w:val="en-US"/>
        </w:rPr>
        <w:t xml:space="preserve">(e.g., </w:t>
      </w:r>
      <w:r w:rsidR="00B221E1" w:rsidRPr="005114C0">
        <w:rPr>
          <w:rFonts w:cs="Times New Roman"/>
        </w:rPr>
        <w:t>Wexler et al. 1954; Atlas et al. 1969; Carbone 1982; Stewart et al. 1984; Szeto and Stewart 1997; Kain et al. 2000</w:t>
      </w:r>
      <w:r w:rsidR="00B221E1">
        <w:rPr>
          <w:rFonts w:cs="Times New Roman"/>
        </w:rPr>
        <w:t>)</w:t>
      </w:r>
      <w:r w:rsidRPr="00CF0DF4">
        <w:rPr>
          <w:lang w:val="en-US"/>
        </w:rPr>
        <w:t xml:space="preserve"> melting is not responsible for </w:t>
      </w:r>
      <w:r w:rsidRPr="00CF0DF4">
        <w:rPr>
          <w:lang w:val="en-US"/>
        </w:rPr>
        <w:lastRenderedPageBreak/>
        <w:t>this isothermal layer. Once melting begins, temperature increases to above 1 °C before briefly spiking to around 0.5 °C then increasing above 1 °C again. During GCPEX_Spi-Asc_100RH, the second 0 °C quasi-isothermal layer is recorded (</w:t>
      </w:r>
      <w:r w:rsidRPr="00CF0DF4">
        <w:rPr>
          <w:lang w:val="en-US"/>
        </w:rPr>
        <w:fldChar w:fldCharType="begin"/>
      </w:r>
      <w:r w:rsidRPr="00CF0DF4">
        <w:rPr>
          <w:lang w:val="en-US"/>
        </w:rPr>
        <w:instrText xml:space="preserve"> REF _Ref106429294 \h </w:instrText>
      </w:r>
      <w:r w:rsidRPr="00CF0DF4">
        <w:rPr>
          <w:lang w:val="en-US"/>
        </w:rPr>
      </w:r>
      <w:r w:rsidRPr="00CF0DF4">
        <w:rPr>
          <w:lang w:val="en-US"/>
        </w:rPr>
        <w:fldChar w:fldCharType="separate"/>
      </w:r>
      <w:r w:rsidR="00DB4BE3" w:rsidRPr="00CF0DF4">
        <w:t xml:space="preserve">Figure </w:t>
      </w:r>
      <w:r w:rsidR="00DB4BE3">
        <w:rPr>
          <w:noProof/>
        </w:rPr>
        <w:t>24</w:t>
      </w:r>
      <w:r w:rsidRPr="00CF0DF4">
        <w:rPr>
          <w:lang w:val="en-US"/>
        </w:rPr>
        <w:fldChar w:fldCharType="end"/>
      </w:r>
      <w:r w:rsidRPr="00CF0DF4">
        <w:rPr>
          <w:lang w:val="en-US"/>
        </w:rPr>
        <w:t>). The lapse rate starts to decrease above the melting layer and continues into the melting layer producing an approximately 350 m quasi-isothermal layer where temperatures range from -0.1 °C to 0.2 °C. The depth of the isothermal layer is about evenly split between a section above and below melting layer top. The onset of melting appears to have no impact on the isothermal layer. Contrasting IMPACTS_Ram-Asc_95RH, the isothermal layer is fully saturated throughout. The IMPACTS_Ram-Asc_95RH and GCPEX_Spi-Asc_100RH cases are the only two in the entire dataset that experience a quasi-isothermal layer.</w:t>
      </w:r>
    </w:p>
    <w:p w14:paraId="56350EE4"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74696E8D" wp14:editId="0BC317CE">
            <wp:extent cx="5905500" cy="5410200"/>
            <wp:effectExtent l="0" t="0" r="0" b="0"/>
            <wp:docPr id="52" name="Pictur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0" cy="5410200"/>
                    </a:xfrm>
                    <a:prstGeom prst="rect">
                      <a:avLst/>
                    </a:prstGeom>
                    <a:noFill/>
                    <a:ln>
                      <a:noFill/>
                    </a:ln>
                  </pic:spPr>
                </pic:pic>
              </a:graphicData>
            </a:graphic>
          </wp:inline>
        </w:drawing>
      </w:r>
    </w:p>
    <w:p w14:paraId="4C8936B1" w14:textId="2EC45289" w:rsidR="00317ACF" w:rsidRPr="00CF0DF4" w:rsidRDefault="00317ACF" w:rsidP="00317ACF">
      <w:pPr>
        <w:pStyle w:val="Caption-Figure"/>
      </w:pPr>
      <w:bookmarkStart w:id="104" w:name="_Ref106429289"/>
      <w:bookmarkStart w:id="105" w:name="_Toc109123136"/>
      <w:r w:rsidRPr="00CF0DF4">
        <w:t xml:space="preserve">Figure </w:t>
      </w:r>
      <w:r w:rsidRPr="00CF0DF4">
        <w:fldChar w:fldCharType="begin"/>
      </w:r>
      <w:r w:rsidRPr="00CF0DF4">
        <w:instrText>SEQ Figure \* ARABIC</w:instrText>
      </w:r>
      <w:r w:rsidRPr="00CF0DF4">
        <w:fldChar w:fldCharType="separate"/>
      </w:r>
      <w:r w:rsidR="00DB4BE3">
        <w:rPr>
          <w:noProof/>
        </w:rPr>
        <w:t>23</w:t>
      </w:r>
      <w:r w:rsidRPr="00CF0DF4">
        <w:fldChar w:fldCharType="end"/>
      </w:r>
      <w:bookmarkEnd w:id="104"/>
      <w:r w:rsidRPr="00CF0DF4">
        <w:t xml:space="preserve">: Plots </w:t>
      </w:r>
      <w:proofErr w:type="gramStart"/>
      <w:r w:rsidR="0094297E" w:rsidRPr="00CF0DF4">
        <w:t>similar to</w:t>
      </w:r>
      <w:proofErr w:type="gramEnd"/>
      <w:r w:rsidRPr="00CF0DF4">
        <w:t xml:space="preserve"> </w:t>
      </w:r>
      <w:r w:rsidRPr="00CF0DF4">
        <w:fldChar w:fldCharType="begin"/>
      </w:r>
      <w:r w:rsidRPr="00CF0DF4">
        <w:instrText xml:space="preserve"> REF _Ref102216178 \h </w:instrText>
      </w:r>
      <w:r w:rsidRPr="00CF0DF4">
        <w:fldChar w:fldCharType="separate"/>
      </w:r>
      <w:r w:rsidR="00DB4BE3" w:rsidRPr="00CF0DF4">
        <w:t xml:space="preserve">Figure </w:t>
      </w:r>
      <w:r w:rsidR="00DB4BE3">
        <w:rPr>
          <w:noProof/>
        </w:rPr>
        <w:t>5</w:t>
      </w:r>
      <w:r w:rsidRPr="00CF0DF4">
        <w:fldChar w:fldCharType="end"/>
      </w:r>
      <w:r w:rsidRPr="00CF0DF4">
        <w:t xml:space="preserve">, except </w:t>
      </w:r>
      <w:r w:rsidR="0094297E" w:rsidRPr="00CF0DF4">
        <w:t>for showing</w:t>
      </w:r>
      <w:r w:rsidR="00F5188B">
        <w:t xml:space="preserve"> the melting layer for</w:t>
      </w:r>
      <w:r w:rsidRPr="00CF0DF4">
        <w:t xml:space="preserve"> the IMPACTS_Ram-Asc_95RH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5"/>
    </w:p>
    <w:p w14:paraId="47040A6E"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5674E19F" wp14:editId="5D007BE8">
            <wp:extent cx="5905500" cy="5410200"/>
            <wp:effectExtent l="0" t="0" r="0" b="0"/>
            <wp:docPr id="53" name="Picture 5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0" cy="5410200"/>
                    </a:xfrm>
                    <a:prstGeom prst="rect">
                      <a:avLst/>
                    </a:prstGeom>
                    <a:noFill/>
                    <a:ln>
                      <a:noFill/>
                    </a:ln>
                  </pic:spPr>
                </pic:pic>
              </a:graphicData>
            </a:graphic>
          </wp:inline>
        </w:drawing>
      </w:r>
    </w:p>
    <w:p w14:paraId="0110E78B" w14:textId="50BBAFD5" w:rsidR="00317ACF" w:rsidRPr="00CF0DF4" w:rsidRDefault="00317ACF" w:rsidP="00317ACF">
      <w:pPr>
        <w:pStyle w:val="Caption-Figure"/>
      </w:pPr>
      <w:bookmarkStart w:id="106" w:name="_Ref106429294"/>
      <w:bookmarkStart w:id="107" w:name="_Toc109123137"/>
      <w:r w:rsidRPr="00CF0DF4">
        <w:t xml:space="preserve">Figure </w:t>
      </w:r>
      <w:r w:rsidRPr="00CF0DF4">
        <w:fldChar w:fldCharType="begin"/>
      </w:r>
      <w:r w:rsidRPr="00CF0DF4">
        <w:instrText>SEQ Figure \* ARABIC</w:instrText>
      </w:r>
      <w:r w:rsidRPr="00CF0DF4">
        <w:fldChar w:fldCharType="separate"/>
      </w:r>
      <w:r w:rsidR="00DB4BE3">
        <w:rPr>
          <w:noProof/>
        </w:rPr>
        <w:t>24</w:t>
      </w:r>
      <w:r w:rsidRPr="00CF0DF4">
        <w:fldChar w:fldCharType="end"/>
      </w:r>
      <w:bookmarkEnd w:id="106"/>
      <w:r w:rsidRPr="00CF0DF4">
        <w:t>: Plot</w:t>
      </w:r>
      <w:r w:rsidR="0094297E" w:rsidRPr="00CF0DF4">
        <w:t xml:space="preserve">s </w:t>
      </w:r>
      <w:proofErr w:type="gramStart"/>
      <w:r w:rsidR="0094297E" w:rsidRPr="00CF0DF4">
        <w:t>similar to</w:t>
      </w:r>
      <w:proofErr w:type="gramEnd"/>
      <w:r w:rsidR="0094297E" w:rsidRPr="00CF0DF4">
        <w:t xml:space="preserve"> </w:t>
      </w:r>
      <w:r w:rsidRPr="00CF0DF4">
        <w:fldChar w:fldCharType="begin"/>
      </w:r>
      <w:r w:rsidRPr="00CF0DF4">
        <w:instrText xml:space="preserve"> REF _Ref102216178 \h </w:instrText>
      </w:r>
      <w:r w:rsidRPr="00CF0DF4">
        <w:fldChar w:fldCharType="separate"/>
      </w:r>
      <w:r w:rsidR="00DB4BE3" w:rsidRPr="00CF0DF4">
        <w:t xml:space="preserve">Figure </w:t>
      </w:r>
      <w:r w:rsidR="00DB4BE3">
        <w:rPr>
          <w:noProof/>
        </w:rPr>
        <w:t>5</w:t>
      </w:r>
      <w:r w:rsidRPr="00CF0DF4">
        <w:fldChar w:fldCharType="end"/>
      </w:r>
      <w:r w:rsidRPr="00CF0DF4">
        <w:t xml:space="preserve">, except </w:t>
      </w:r>
      <w:r w:rsidR="0094297E" w:rsidRPr="00CF0DF4">
        <w:t>for showing</w:t>
      </w:r>
      <w:r w:rsidRPr="00CF0DF4">
        <w:t xml:space="preserve"> the</w:t>
      </w:r>
      <w:r w:rsidR="00F5188B">
        <w:t xml:space="preserve"> melting layer for the</w:t>
      </w:r>
      <w:r w:rsidRPr="00CF0DF4">
        <w:t xml:space="preserve"> GCPEX_Spi-Asc_100RH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7"/>
      <w:r w:rsidRPr="00CF0DF4">
        <w:t xml:space="preserve"> </w:t>
      </w:r>
    </w:p>
    <w:p w14:paraId="008F8136" w14:textId="70EBFDA2" w:rsidR="00317ACF" w:rsidRPr="00CF0DF4" w:rsidRDefault="00317ACF" w:rsidP="00317ACF">
      <w:pPr>
        <w:pStyle w:val="Heading2"/>
        <w:rPr>
          <w:lang w:val="en-US"/>
        </w:rPr>
      </w:pPr>
      <w:bookmarkStart w:id="108" w:name="_Toc109123108"/>
      <w:r w:rsidRPr="00CF0DF4">
        <w:rPr>
          <w:lang w:val="en-US"/>
        </w:rPr>
        <w:t>4.4 Low Relative Humidity Cases</w:t>
      </w:r>
      <w:bookmarkEnd w:id="108"/>
    </w:p>
    <w:p w14:paraId="1C5CB390" w14:textId="2C1661B0" w:rsidR="00317ACF" w:rsidRPr="00CF0DF4" w:rsidRDefault="00317ACF" w:rsidP="00317ACF">
      <w:pPr>
        <w:pStyle w:val="Body"/>
        <w:ind w:firstLine="461"/>
        <w:rPr>
          <w:rFonts w:eastAsia="Times New Roman" w:cs="Times New Roman"/>
          <w:lang w:val="en-US"/>
        </w:rPr>
      </w:pPr>
      <w:r w:rsidRPr="00CF0DF4">
        <w:rPr>
          <w:rFonts w:eastAsia="Times New Roman" w:cs="Times New Roman"/>
          <w:lang w:val="en-US"/>
        </w:rPr>
        <w:t>The nine low relative humidity cases have the greatest variation between each other.</w:t>
      </w:r>
      <w:r w:rsidRPr="00CF0DF4">
        <w:rPr>
          <w:lang w:val="en-US"/>
        </w:rPr>
        <w:t xml:space="preserve"> </w:t>
      </w:r>
      <w:r w:rsidRPr="00CF0DF4">
        <w:rPr>
          <w:rFonts w:eastAsia="Times New Roman" w:cs="Times New Roman"/>
          <w:lang w:val="en-US"/>
        </w:rPr>
        <w:t>During MC3E_Ram-Asc_83RHa, there is a local minimum in relative humidity between the 0 °C air temperature isotherm and the melting layer top at the 0 °C ice-bulb isotherm (</w:t>
      </w:r>
      <w:r w:rsidRPr="00CF0DF4">
        <w:rPr>
          <w:rFonts w:eastAsia="Times New Roman" w:cs="Times New Roman"/>
          <w:lang w:val="en-US"/>
        </w:rPr>
        <w:fldChar w:fldCharType="begin"/>
      </w:r>
      <w:r w:rsidRPr="00CF0DF4">
        <w:rPr>
          <w:rFonts w:eastAsia="Times New Roman" w:cs="Times New Roman"/>
          <w:lang w:val="en-US"/>
        </w:rPr>
        <w:instrText xml:space="preserve"> REF _Ref106436120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25</w:t>
      </w:r>
      <w:r w:rsidRPr="00CF0DF4">
        <w:rPr>
          <w:rFonts w:eastAsia="Times New Roman" w:cs="Times New Roman"/>
          <w:lang w:val="en-US"/>
        </w:rPr>
        <w:fldChar w:fldCharType="end"/>
      </w:r>
      <w:r w:rsidRPr="00CF0DF4">
        <w:rPr>
          <w:rFonts w:eastAsia="Times New Roman" w:cs="Times New Roman"/>
          <w:lang w:val="en-US"/>
        </w:rPr>
        <w:t xml:space="preserve">). Below the relative humidity minimum, there is a peak in both maximum diameter at 18,000 µm and relative humidity at approximately 90 percent in a 200 m thick layer near the melting layer top. Notably, the area ratio of small </w:t>
      </w:r>
      <w:r w:rsidR="00781424">
        <w:rPr>
          <w:rFonts w:eastAsia="Times New Roman" w:cs="Times New Roman"/>
          <w:lang w:val="en-US"/>
        </w:rPr>
        <w:t>hydrometeors</w:t>
      </w:r>
      <w:r w:rsidRPr="00CF0DF4">
        <w:rPr>
          <w:rFonts w:eastAsia="Times New Roman" w:cs="Times New Roman"/>
          <w:lang w:val="en-US"/>
        </w:rPr>
        <w:t xml:space="preserve"> does not increase until the ice-bulb temperature </w:t>
      </w:r>
      <w:r w:rsidRPr="00CF0DF4">
        <w:rPr>
          <w:rFonts w:eastAsia="Times New Roman" w:cs="Times New Roman"/>
          <w:lang w:val="en-US"/>
        </w:rPr>
        <w:lastRenderedPageBreak/>
        <w:t>exceeds 0 °C. Similar to IMPACTS_Spi-Des_94RH where significantly enhanced aggregation also occurred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rFonts w:eastAsia="Times New Roman" w:cs="Times New Roman"/>
          <w:lang w:val="en-US"/>
        </w:rPr>
        <w:t>), area ratio starts to increase as maximum diameter decreases (</w:t>
      </w:r>
      <w:r w:rsidRPr="00CF0DF4">
        <w:rPr>
          <w:rFonts w:eastAsia="Times New Roman" w:cs="Times New Roman"/>
          <w:lang w:val="en-US"/>
        </w:rPr>
        <w:fldChar w:fldCharType="begin"/>
      </w:r>
      <w:r w:rsidRPr="00CF0DF4">
        <w:rPr>
          <w:rFonts w:eastAsia="Times New Roman" w:cs="Times New Roman"/>
          <w:lang w:val="en-US"/>
        </w:rPr>
        <w:instrText xml:space="preserve"> REF _Ref106436120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25</w:t>
      </w:r>
      <w:r w:rsidRPr="00CF0DF4">
        <w:rPr>
          <w:rFonts w:eastAsia="Times New Roman" w:cs="Times New Roman"/>
          <w:lang w:val="en-US"/>
        </w:rPr>
        <w:fldChar w:fldCharType="end"/>
      </w:r>
      <w:r w:rsidRPr="00CF0DF4">
        <w:rPr>
          <w:rFonts w:eastAsia="Times New Roman" w:cs="Times New Roman"/>
          <w:lang w:val="en-US"/>
        </w:rPr>
        <w:t xml:space="preserve">). During MC4, the slope and intercept parameter experience a local minimum in the location of aggregation and large maximum diameters, which is also </w:t>
      </w:r>
      <w:proofErr w:type="gramStart"/>
      <w:r w:rsidRPr="00CF0DF4">
        <w:rPr>
          <w:rFonts w:eastAsia="Times New Roman" w:cs="Times New Roman"/>
          <w:lang w:val="en-US"/>
        </w:rPr>
        <w:t>similar to</w:t>
      </w:r>
      <w:proofErr w:type="gramEnd"/>
      <w:r w:rsidRPr="00CF0DF4">
        <w:rPr>
          <w:rFonts w:eastAsia="Times New Roman" w:cs="Times New Roman"/>
          <w:lang w:val="en-US"/>
        </w:rPr>
        <w:t xml:space="preserve"> IMPACTS_Spi-Des_94RH (</w:t>
      </w:r>
      <w:r w:rsidRPr="00CF0DF4">
        <w:rPr>
          <w:rFonts w:eastAsia="Times New Roman" w:cs="Times New Roman"/>
          <w:lang w:val="en-US"/>
        </w:rPr>
        <w:fldChar w:fldCharType="begin"/>
      </w:r>
      <w:r w:rsidRPr="00CF0DF4">
        <w:rPr>
          <w:rFonts w:eastAsia="Times New Roman" w:cs="Times New Roman"/>
          <w:lang w:val="en-US"/>
        </w:rPr>
        <w:instrText xml:space="preserve"> REF _Ref106436136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26</w:t>
      </w:r>
      <w:r w:rsidRPr="00CF0DF4">
        <w:rPr>
          <w:rFonts w:eastAsia="Times New Roman" w:cs="Times New Roman"/>
          <w:lang w:val="en-US"/>
        </w:rPr>
        <w:fldChar w:fldCharType="end"/>
      </w:r>
      <w:r w:rsidRPr="00CF0DF4">
        <w:rPr>
          <w:rFonts w:eastAsia="Times New Roman" w:cs="Times New Roman"/>
          <w:lang w:val="en-US"/>
        </w:rPr>
        <w:t>). The GCPEX</w:t>
      </w:r>
      <w:r w:rsidR="008E77D5">
        <w:rPr>
          <w:rFonts w:eastAsia="Times New Roman" w:cs="Times New Roman"/>
          <w:lang w:val="en-US"/>
        </w:rPr>
        <w:t>_Spi-</w:t>
      </w:r>
      <w:r w:rsidRPr="00CF0DF4">
        <w:rPr>
          <w:rFonts w:eastAsia="Times New Roman" w:cs="Times New Roman"/>
          <w:lang w:val="en-US"/>
        </w:rPr>
        <w:t xml:space="preserve">Des_84RH melting layer differs from MC3E_Ram-Asc_83RHa and is more </w:t>
      </w:r>
      <w:proofErr w:type="gramStart"/>
      <w:r w:rsidRPr="00CF0DF4">
        <w:rPr>
          <w:rFonts w:eastAsia="Times New Roman" w:cs="Times New Roman"/>
          <w:lang w:val="en-US"/>
        </w:rPr>
        <w:t>similar to</w:t>
      </w:r>
      <w:proofErr w:type="gramEnd"/>
      <w:r w:rsidRPr="00CF0DF4">
        <w:rPr>
          <w:rFonts w:eastAsia="Times New Roman" w:cs="Times New Roman"/>
          <w:lang w:val="en-US"/>
        </w:rPr>
        <w:t xml:space="preserve"> the high relative humidity cases. The maximum diameter does not increase around the melting layer top, suggesting that aggregation is not occurring at a similar magnitude (</w:t>
      </w:r>
      <w:r w:rsidRPr="00CF0DF4">
        <w:rPr>
          <w:rFonts w:eastAsia="Times New Roman" w:cs="Times New Roman"/>
          <w:lang w:val="en-US"/>
        </w:rPr>
        <w:fldChar w:fldCharType="begin"/>
      </w:r>
      <w:r w:rsidRPr="00CF0DF4">
        <w:rPr>
          <w:rFonts w:eastAsia="Times New Roman" w:cs="Times New Roman"/>
          <w:lang w:val="en-US"/>
        </w:rPr>
        <w:instrText xml:space="preserve"> REF _Ref107400601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27</w:t>
      </w:r>
      <w:r w:rsidRPr="00CF0DF4">
        <w:rPr>
          <w:rFonts w:eastAsia="Times New Roman" w:cs="Times New Roman"/>
          <w:lang w:val="en-US"/>
        </w:rPr>
        <w:fldChar w:fldCharType="end"/>
      </w:r>
      <w:r w:rsidRPr="00CF0DF4">
        <w:rPr>
          <w:rFonts w:eastAsia="Times New Roman" w:cs="Times New Roman"/>
          <w:lang w:val="en-US"/>
        </w:rPr>
        <w:t>). However, the maximum diameter above the melting layer is larger in GCPEX</w:t>
      </w:r>
      <w:r w:rsidR="008E77D5">
        <w:rPr>
          <w:rFonts w:eastAsia="Times New Roman" w:cs="Times New Roman"/>
          <w:lang w:val="en-US"/>
        </w:rPr>
        <w:t>_Spi-</w:t>
      </w:r>
      <w:r w:rsidRPr="00CF0DF4">
        <w:rPr>
          <w:rFonts w:eastAsia="Times New Roman" w:cs="Times New Roman"/>
          <w:lang w:val="en-US"/>
        </w:rPr>
        <w:t>Des_84RH than MC3E_Ram-Asc_83RHa at approximately 8,000 µm compared to 3,000 µm, respectively. Otherwise, during GCPEX</w:t>
      </w:r>
      <w:r w:rsidR="008E77D5">
        <w:rPr>
          <w:rFonts w:eastAsia="Times New Roman" w:cs="Times New Roman"/>
          <w:lang w:val="en-US"/>
        </w:rPr>
        <w:t>_Spi-</w:t>
      </w:r>
      <w:r w:rsidRPr="00CF0DF4">
        <w:rPr>
          <w:rFonts w:eastAsia="Times New Roman" w:cs="Times New Roman"/>
          <w:lang w:val="en-US"/>
        </w:rPr>
        <w:t xml:space="preserve">Des_84RH, area ratio increases from small to large </w:t>
      </w:r>
      <w:r w:rsidR="00781424">
        <w:rPr>
          <w:rFonts w:eastAsia="Times New Roman" w:cs="Times New Roman"/>
          <w:lang w:val="en-US"/>
        </w:rPr>
        <w:t>hydrometeors</w:t>
      </w:r>
      <w:r w:rsidRPr="00CF0DF4">
        <w:rPr>
          <w:rFonts w:eastAsia="Times New Roman" w:cs="Times New Roman"/>
          <w:lang w:val="en-US"/>
        </w:rPr>
        <w:t xml:space="preserve">. </w:t>
      </w:r>
    </w:p>
    <w:p w14:paraId="2B614A1B"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769E69BD" wp14:editId="364B7E88">
            <wp:extent cx="5887085" cy="2830830"/>
            <wp:effectExtent l="0" t="0" r="0" b="762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4E64AE22" w14:textId="5A1CE99E" w:rsidR="00317ACF" w:rsidRPr="00CF0DF4" w:rsidRDefault="00317ACF" w:rsidP="00317ACF">
      <w:pPr>
        <w:pStyle w:val="Caption-Figure"/>
      </w:pPr>
      <w:bookmarkStart w:id="109" w:name="_Ref106436120"/>
      <w:bookmarkStart w:id="110" w:name="_Toc109123138"/>
      <w:r w:rsidRPr="00CF0DF4">
        <w:t xml:space="preserve">Figure </w:t>
      </w:r>
      <w:r w:rsidRPr="00CF0DF4">
        <w:fldChar w:fldCharType="begin"/>
      </w:r>
      <w:r w:rsidRPr="00CF0DF4">
        <w:instrText>SEQ Figure \* ARABIC</w:instrText>
      </w:r>
      <w:r w:rsidRPr="00CF0DF4">
        <w:fldChar w:fldCharType="separate"/>
      </w:r>
      <w:r w:rsidR="00DB4BE3">
        <w:rPr>
          <w:noProof/>
        </w:rPr>
        <w:t>25</w:t>
      </w:r>
      <w:r w:rsidRPr="00CF0DF4">
        <w:fldChar w:fldCharType="end"/>
      </w:r>
      <w:bookmarkEnd w:id="109"/>
      <w:r w:rsidRPr="00CF0DF4">
        <w:t xml:space="preserve">: </w:t>
      </w:r>
      <w:r w:rsidR="00F5188B" w:rsidRPr="00CF0DF4">
        <w:t xml:space="preserve">Plots </w:t>
      </w:r>
      <w:proofErr w:type="gramStart"/>
      <w:r w:rsidR="00F5188B">
        <w:t>similar to</w:t>
      </w:r>
      <w:proofErr w:type="gramEnd"/>
      <w:r w:rsidR="00F5188B">
        <w:t xml:space="preserve">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MC3E_Ram-Asc_83RHa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0"/>
    </w:p>
    <w:p w14:paraId="07793904"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0941FF73" wp14:editId="43F1A2AA">
            <wp:extent cx="5899785" cy="5073015"/>
            <wp:effectExtent l="0" t="0" r="5715"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9785" cy="5073015"/>
                    </a:xfrm>
                    <a:prstGeom prst="rect">
                      <a:avLst/>
                    </a:prstGeom>
                    <a:noFill/>
                    <a:ln>
                      <a:noFill/>
                    </a:ln>
                  </pic:spPr>
                </pic:pic>
              </a:graphicData>
            </a:graphic>
          </wp:inline>
        </w:drawing>
      </w:r>
    </w:p>
    <w:p w14:paraId="508D0467" w14:textId="2307197E" w:rsidR="00317ACF" w:rsidRPr="00CF0DF4" w:rsidRDefault="00317ACF" w:rsidP="00317ACF">
      <w:pPr>
        <w:pStyle w:val="Caption-Figure"/>
        <w:rPr>
          <w:rFonts w:eastAsia="Times New Roman" w:cs="Times New Roman"/>
        </w:rPr>
      </w:pPr>
      <w:bookmarkStart w:id="111" w:name="_Ref106436136"/>
      <w:bookmarkStart w:id="112" w:name="_Toc109123139"/>
      <w:r w:rsidRPr="00CF0DF4">
        <w:t xml:space="preserve">Figure </w:t>
      </w:r>
      <w:r w:rsidRPr="00CF0DF4">
        <w:fldChar w:fldCharType="begin"/>
      </w:r>
      <w:r w:rsidRPr="00CF0DF4">
        <w:instrText>SEQ Figure \* ARABIC</w:instrText>
      </w:r>
      <w:r w:rsidRPr="00CF0DF4">
        <w:fldChar w:fldCharType="separate"/>
      </w:r>
      <w:r w:rsidR="00DB4BE3">
        <w:rPr>
          <w:noProof/>
        </w:rPr>
        <w:t>26</w:t>
      </w:r>
      <w:r w:rsidRPr="00CF0DF4">
        <w:fldChar w:fldCharType="end"/>
      </w:r>
      <w:bookmarkEnd w:id="111"/>
      <w:r w:rsidRPr="00CF0DF4">
        <w:rPr>
          <w:noProof/>
        </w:rPr>
        <w:t>:</w:t>
      </w:r>
      <w:r w:rsidRPr="00CF0DF4">
        <w:t xml:space="preserve"> </w:t>
      </w:r>
      <w:r w:rsidR="00F5188B" w:rsidRPr="00CF0DF4">
        <w:t xml:space="preserve">Plots </w:t>
      </w:r>
      <w:proofErr w:type="gramStart"/>
      <w:r w:rsidR="00F5188B">
        <w:t>similar to</w:t>
      </w:r>
      <w:proofErr w:type="gramEnd"/>
      <w:r w:rsidR="00F5188B">
        <w:t xml:space="preserve">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MC3E_Ram-Asc_83RHa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2"/>
    </w:p>
    <w:p w14:paraId="4CEEB4DD"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27FA1CF7" wp14:editId="4135F4F7">
            <wp:extent cx="5887085" cy="2830830"/>
            <wp:effectExtent l="0" t="0" r="0" b="762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7C9D6D21" w14:textId="08B84310" w:rsidR="00317ACF" w:rsidRPr="00CF0DF4" w:rsidRDefault="00317ACF" w:rsidP="00317ACF">
      <w:pPr>
        <w:pStyle w:val="Caption-Figure"/>
        <w:rPr>
          <w:rFonts w:eastAsia="Times New Roman" w:cs="Times New Roman"/>
        </w:rPr>
      </w:pPr>
      <w:bookmarkStart w:id="113" w:name="_Ref107400601"/>
      <w:bookmarkStart w:id="114" w:name="_Toc109123140"/>
      <w:r w:rsidRPr="00CF0DF4">
        <w:t xml:space="preserve">Figure </w:t>
      </w:r>
      <w:r w:rsidRPr="00CF0DF4">
        <w:fldChar w:fldCharType="begin"/>
      </w:r>
      <w:r w:rsidRPr="00CF0DF4">
        <w:instrText>SEQ Figure \* ARABIC</w:instrText>
      </w:r>
      <w:r w:rsidRPr="00CF0DF4">
        <w:fldChar w:fldCharType="separate"/>
      </w:r>
      <w:r w:rsidR="00DB4BE3">
        <w:rPr>
          <w:noProof/>
        </w:rPr>
        <w:t>27</w:t>
      </w:r>
      <w:r w:rsidRPr="00CF0DF4">
        <w:fldChar w:fldCharType="end"/>
      </w:r>
      <w:bookmarkEnd w:id="113"/>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GCPEX</w:t>
      </w:r>
      <w:r w:rsidR="008E77D5">
        <w:t>_Spi-</w:t>
      </w:r>
      <w:r w:rsidRPr="00CF0DF4">
        <w:t>Des_84RH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4"/>
    </w:p>
    <w:p w14:paraId="3E708BF1" w14:textId="281FFE81" w:rsidR="00317ACF" w:rsidRPr="00CF0DF4" w:rsidRDefault="00317ACF" w:rsidP="00317ACF">
      <w:pPr>
        <w:pStyle w:val="Body"/>
        <w:rPr>
          <w:rFonts w:eastAsia="Times New Roman" w:cs="Times New Roman"/>
          <w:lang w:val="en-US"/>
        </w:rPr>
      </w:pPr>
      <w:r w:rsidRPr="00CF0DF4">
        <w:rPr>
          <w:rFonts w:eastAsia="Times New Roman" w:cs="Times New Roman"/>
          <w:lang w:val="en-US"/>
        </w:rPr>
        <w:t>Two melting layer profiles are recorded consecutively on 10 MAY 11 (MC3E_Ram-Des_79RH and MC3E_Ram-Asc_83RHb) during a ramp descent followed by a ramp ascent (</w:t>
      </w:r>
      <w:r w:rsidRPr="00CF0DF4">
        <w:rPr>
          <w:rFonts w:eastAsia="Times New Roman" w:cs="Times New Roman"/>
          <w:lang w:val="en-US"/>
        </w:rPr>
        <w:fldChar w:fldCharType="begin"/>
      </w:r>
      <w:r w:rsidRPr="00CF0DF4">
        <w:rPr>
          <w:rFonts w:eastAsia="Times New Roman" w:cs="Times New Roman"/>
          <w:lang w:val="en-US"/>
        </w:rPr>
        <w:instrText xml:space="preserve"> REF _Ref106435047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28</w:t>
      </w:r>
      <w:r w:rsidRPr="00CF0DF4">
        <w:rPr>
          <w:rFonts w:eastAsia="Times New Roman" w:cs="Times New Roman"/>
          <w:lang w:val="en-US"/>
        </w:rPr>
        <w:fldChar w:fldCharType="end"/>
      </w:r>
      <w:r w:rsidRPr="00CF0DF4">
        <w:rPr>
          <w:rFonts w:eastAsia="Times New Roman" w:cs="Times New Roman"/>
          <w:lang w:val="en-US"/>
        </w:rPr>
        <w:t xml:space="preserve">). In total, there are approximately 3 s of below melting layer observations; however, the melting layer was still fully </w:t>
      </w:r>
      <w:r w:rsidR="00131CB3" w:rsidRPr="00CF0DF4">
        <w:rPr>
          <w:rFonts w:eastAsia="Times New Roman" w:cs="Times New Roman"/>
          <w:lang w:val="en-US"/>
        </w:rPr>
        <w:t>sampled</w:t>
      </w:r>
      <w:r w:rsidRPr="00CF0DF4">
        <w:rPr>
          <w:rFonts w:eastAsia="Times New Roman" w:cs="Times New Roman"/>
          <w:lang w:val="en-US"/>
        </w:rPr>
        <w:t xml:space="preserve"> during both cases. During the MC3E_Ram-Asc_83RHb ascent, the 0 °C isotherm is 235 m higher than it was during the MC3E_Ram-Des_79RH descent. Despite the air temperature difference, the 0 °C ice-bulb isotherm is roughly the same altitude at </w:t>
      </w:r>
      <w:r w:rsidR="002D2234">
        <w:rPr>
          <w:rFonts w:eastAsia="Times New Roman" w:cs="Times New Roman"/>
          <w:lang w:val="en-US"/>
        </w:rPr>
        <w:t>approximately</w:t>
      </w:r>
      <w:r w:rsidRPr="00CF0DF4">
        <w:rPr>
          <w:rFonts w:eastAsia="Times New Roman" w:cs="Times New Roman"/>
          <w:lang w:val="en-US"/>
        </w:rPr>
        <w:t xml:space="preserve"> 3,750 m due to lower relative humidity conditions above the melting layer during the MC3E_Ram-Asc_83RHb ascent. Thus, both melting layers have similar depths of 133 m for MC3E_Ram-Des_79RH and 123 m for MC3E_Ram-Asc_83RHb. During the MC3E_Ram-Des_79RH descent, area ratio values are relatively high at 0.4-0.7 in and above the melting layer (</w:t>
      </w:r>
      <w:r w:rsidRPr="00CF0DF4">
        <w:rPr>
          <w:rFonts w:eastAsia="Times New Roman" w:cs="Times New Roman"/>
          <w:lang w:val="en-US"/>
        </w:rPr>
        <w:fldChar w:fldCharType="begin"/>
      </w:r>
      <w:r w:rsidRPr="00CF0DF4">
        <w:rPr>
          <w:rFonts w:eastAsia="Times New Roman" w:cs="Times New Roman"/>
          <w:lang w:val="en-US"/>
        </w:rPr>
        <w:instrText xml:space="preserve"> REF _Ref106435054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29</w:t>
      </w:r>
      <w:r w:rsidRPr="00CF0DF4">
        <w:rPr>
          <w:rFonts w:eastAsia="Times New Roman" w:cs="Times New Roman"/>
          <w:lang w:val="en-US"/>
        </w:rPr>
        <w:fldChar w:fldCharType="end"/>
      </w:r>
      <w:r w:rsidRPr="00CF0DF4">
        <w:rPr>
          <w:rFonts w:eastAsia="Times New Roman" w:cs="Times New Roman"/>
          <w:lang w:val="en-US"/>
        </w:rPr>
        <w:t xml:space="preserve">). At the bottom of the 123 m deep melting layer, the area ratio of the largest remaining </w:t>
      </w:r>
      <w:r w:rsidR="00781424">
        <w:rPr>
          <w:rFonts w:eastAsia="Times New Roman" w:cs="Times New Roman"/>
          <w:lang w:val="en-US"/>
        </w:rPr>
        <w:t>hydrometeors</w:t>
      </w:r>
      <w:r w:rsidRPr="00CF0DF4">
        <w:rPr>
          <w:rFonts w:eastAsia="Times New Roman" w:cs="Times New Roman"/>
          <w:lang w:val="en-US"/>
        </w:rPr>
        <w:t xml:space="preserve"> increases to above 0.7. Also at the melting layer bottom, maximum diameter rapidly decreases. During the MC3E_Ram-Asc_83RHb ascent, maximum diameter slowly increases going up the melting layer depth while area ratio decreases (</w:t>
      </w:r>
      <w:r w:rsidRPr="00CF0DF4">
        <w:rPr>
          <w:rFonts w:eastAsia="Times New Roman" w:cs="Times New Roman"/>
          <w:lang w:val="en-US"/>
        </w:rPr>
        <w:fldChar w:fldCharType="begin"/>
      </w:r>
      <w:r w:rsidRPr="00CF0DF4">
        <w:rPr>
          <w:rFonts w:eastAsia="Times New Roman" w:cs="Times New Roman"/>
          <w:lang w:val="en-US"/>
        </w:rPr>
        <w:instrText xml:space="preserve"> REF _Ref106435060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30</w:t>
      </w:r>
      <w:r w:rsidRPr="00CF0DF4">
        <w:rPr>
          <w:rFonts w:eastAsia="Times New Roman" w:cs="Times New Roman"/>
          <w:lang w:val="en-US"/>
        </w:rPr>
        <w:fldChar w:fldCharType="end"/>
      </w:r>
      <w:r w:rsidRPr="00CF0DF4">
        <w:rPr>
          <w:rFonts w:eastAsia="Times New Roman" w:cs="Times New Roman"/>
          <w:lang w:val="en-US"/>
        </w:rPr>
        <w:t xml:space="preserve">). Compared to the </w:t>
      </w:r>
      <w:r w:rsidRPr="00CF0DF4">
        <w:rPr>
          <w:rFonts w:eastAsia="Times New Roman" w:cs="Times New Roman"/>
          <w:lang w:val="en-US"/>
        </w:rPr>
        <w:lastRenderedPageBreak/>
        <w:t>MC3E_Ram-Des_79RH descent (</w:t>
      </w:r>
      <w:r w:rsidRPr="00CF0DF4">
        <w:rPr>
          <w:rFonts w:eastAsia="Times New Roman" w:cs="Times New Roman"/>
          <w:lang w:val="en-US"/>
        </w:rPr>
        <w:fldChar w:fldCharType="begin"/>
      </w:r>
      <w:r w:rsidRPr="00CF0DF4">
        <w:rPr>
          <w:rFonts w:eastAsia="Times New Roman" w:cs="Times New Roman"/>
          <w:lang w:val="en-US"/>
        </w:rPr>
        <w:instrText xml:space="preserve"> REF _Ref106435054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29</w:t>
      </w:r>
      <w:r w:rsidRPr="00CF0DF4">
        <w:rPr>
          <w:rFonts w:eastAsia="Times New Roman" w:cs="Times New Roman"/>
          <w:lang w:val="en-US"/>
        </w:rPr>
        <w:fldChar w:fldCharType="end"/>
      </w:r>
      <w:r w:rsidRPr="00CF0DF4">
        <w:rPr>
          <w:rFonts w:eastAsia="Times New Roman" w:cs="Times New Roman"/>
          <w:lang w:val="en-US"/>
        </w:rPr>
        <w:t xml:space="preserve">), the MC3E_Ram-Asc_83RHb ascent contains approximately 5,000-7,000 µm larger maximum </w:t>
      </w:r>
      <w:r w:rsidR="00781424">
        <w:rPr>
          <w:rFonts w:eastAsia="Times New Roman" w:cs="Times New Roman"/>
          <w:lang w:val="en-US"/>
        </w:rPr>
        <w:t>hydrometeor</w:t>
      </w:r>
      <w:r w:rsidRPr="00CF0DF4">
        <w:rPr>
          <w:rFonts w:eastAsia="Times New Roman" w:cs="Times New Roman"/>
          <w:lang w:val="en-US"/>
        </w:rPr>
        <w:t xml:space="preserve"> diameter and 0.2 lower area ratio values at the melting layer top and above (</w:t>
      </w:r>
      <w:r w:rsidRPr="00CF0DF4">
        <w:rPr>
          <w:rFonts w:eastAsia="Times New Roman" w:cs="Times New Roman"/>
          <w:lang w:val="en-US"/>
        </w:rPr>
        <w:fldChar w:fldCharType="begin"/>
      </w:r>
      <w:r w:rsidRPr="00CF0DF4">
        <w:rPr>
          <w:rFonts w:eastAsia="Times New Roman" w:cs="Times New Roman"/>
          <w:lang w:val="en-US"/>
        </w:rPr>
        <w:instrText xml:space="preserve"> REF _Ref106435060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30</w:t>
      </w:r>
      <w:r w:rsidRPr="00CF0DF4">
        <w:rPr>
          <w:rFonts w:eastAsia="Times New Roman" w:cs="Times New Roman"/>
          <w:lang w:val="en-US"/>
        </w:rPr>
        <w:fldChar w:fldCharType="end"/>
      </w:r>
      <w:r w:rsidRPr="00CF0DF4">
        <w:rPr>
          <w:rFonts w:eastAsia="Times New Roman" w:cs="Times New Roman"/>
          <w:lang w:val="en-US"/>
        </w:rPr>
        <w:t xml:space="preserve">). During MC3E_Ram-Asc_83RHb, the area ratio of </w:t>
      </w:r>
      <w:r w:rsidR="00781424">
        <w:rPr>
          <w:rFonts w:eastAsia="Times New Roman" w:cs="Times New Roman"/>
          <w:lang w:val="en-US"/>
        </w:rPr>
        <w:t>hydrometeors</w:t>
      </w:r>
      <w:r w:rsidRPr="00CF0DF4">
        <w:rPr>
          <w:rFonts w:eastAsia="Times New Roman" w:cs="Times New Roman"/>
          <w:lang w:val="en-US"/>
        </w:rPr>
        <w:t xml:space="preserve"> also slowly increases from the melting layer top to the bottom, starting with small </w:t>
      </w:r>
      <w:r w:rsidR="00781424">
        <w:rPr>
          <w:rFonts w:eastAsia="Times New Roman" w:cs="Times New Roman"/>
          <w:lang w:val="en-US"/>
        </w:rPr>
        <w:t>hydrometeors</w:t>
      </w:r>
      <w:r w:rsidRPr="00CF0DF4">
        <w:rPr>
          <w:rFonts w:eastAsia="Times New Roman" w:cs="Times New Roman"/>
          <w:lang w:val="en-US"/>
        </w:rPr>
        <w:t>. The differences between these two back-to-back cases suggest there are inhomogeneities in the clouds between the two ramps as the aircraft traveled approximately 1</w:t>
      </w:r>
      <w:r w:rsidR="00286BC6" w:rsidRPr="00CF0DF4">
        <w:rPr>
          <w:rFonts w:eastAsia="Times New Roman" w:cs="Times New Roman"/>
          <w:lang w:val="en-US"/>
        </w:rPr>
        <w:t>3</w:t>
      </w:r>
      <w:r w:rsidRPr="00CF0DF4">
        <w:rPr>
          <w:rFonts w:eastAsia="Times New Roman" w:cs="Times New Roman"/>
          <w:lang w:val="en-US"/>
        </w:rPr>
        <w:t xml:space="preserve"> km horizontally (</w:t>
      </w:r>
      <w:r w:rsidRPr="00CF0DF4">
        <w:rPr>
          <w:rFonts w:eastAsia="Times New Roman" w:cs="Times New Roman"/>
          <w:lang w:val="en-US"/>
        </w:rPr>
        <w:fldChar w:fldCharType="begin"/>
      </w:r>
      <w:r w:rsidRPr="00CF0DF4">
        <w:rPr>
          <w:rFonts w:eastAsia="Times New Roman" w:cs="Times New Roman"/>
          <w:lang w:val="en-US"/>
        </w:rPr>
        <w:instrText xml:space="preserve"> REF _Ref106435047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28</w:t>
      </w:r>
      <w:r w:rsidRPr="00CF0DF4">
        <w:rPr>
          <w:rFonts w:eastAsia="Times New Roman" w:cs="Times New Roman"/>
          <w:lang w:val="en-US"/>
        </w:rPr>
        <w:fldChar w:fldCharType="end"/>
      </w:r>
      <w:r w:rsidRPr="00CF0DF4">
        <w:rPr>
          <w:rFonts w:eastAsia="Times New Roman" w:cs="Times New Roman"/>
          <w:lang w:val="en-US"/>
        </w:rPr>
        <w:t xml:space="preserve">). The inhomogeneities may be due to entrainment in the deep convective storms focused on during MC3E (e.g., </w:t>
      </w:r>
      <w:r w:rsidRPr="00CF0DF4">
        <w:rPr>
          <w:rFonts w:eastAsia="Times New Roman" w:cs="Times New Roman"/>
          <w:lang w:val="en-US"/>
        </w:rPr>
        <w:fldChar w:fldCharType="begin"/>
      </w:r>
      <w:r w:rsidR="004D7575">
        <w:rPr>
          <w:rFonts w:eastAsia="Times New Roman" w:cs="Times New Roman"/>
          <w:lang w:val="en-US"/>
        </w:rPr>
        <w:instrText xml:space="preserve"> ADDIN ZOTERO_ITEM CSL_CITATION {"citationID":"f91wp6db","properties":{"formattedCitation":"(Freud et al. 2011; Guo et al. 2015)","plainCitation":"(Freud et al. 2011; Guo et al. 2015)","dontUpdate":true,"noteIndex":0},"citationItems":[{"id":354,"uris":["http://zotero.org/groups/4663654/items/NLJHMQJ3"],"itemData":{"id":354,"type":"article-journal","abstract":"&lt;p&gt;&lt;strong class=\"journal-contentHeaderColor\"&gt;Abstract.&lt;/strong&gt; The number concentration of activated CCN (&lt;i&gt;N&lt;/i&gt;&lt;sub&gt;a&lt;/sub&gt;) is the most fundamental microphysical property of a convective cloud. It determines the rate of droplet growth with cloud depth and conversion into precipitation-sized particles and affects the radiative properties of the clouds. However, measuring &lt;i&gt;N&lt;/i&gt;&lt;sub&gt;a&lt;/sub&gt; is not always possible, even in the cores of the convective clouds, because entrainment of sub-saturated ambient air deeper into the cloud lowers the concentrations by dilution and may cause partial or total droplet evaporation, depending on whether the mixing is homogeneous or extreme inhomogeneous, respectively. &lt;br&gt;&lt;br&gt; Here we describe a methodology to derive &lt;i&gt;N&lt;/i&gt;&lt;sub&gt;a&lt;/sub&gt; based on the rate of cloud droplet effective radius (&lt;i&gt;R&lt;/i&gt;&lt;sub&gt;e&lt;/sub&gt;) growth with cloud depth and with respect to the cloud mixing with the entrained ambient air. We use the slope of the tight linear relationship between the adiabatic liquid water mixing ratio and &lt;i&gt;R&lt;/i&gt;&lt;sub&gt;e&lt;/sub&gt;&lt;sup&gt;3&lt;/sup&gt; (or &lt;i&gt;R&lt;/i&gt;&lt;sub&gt;v&lt;/sub&gt;&lt;sup&gt;3&lt;/sup&gt;) to derive an upper limit for &lt;i&gt;N&lt;/i&gt;&lt;sub&gt;a&lt;/sub&gt; assuming extreme inhomogeneous mixing. Then we tune &lt;i&gt;N&lt;/i&gt;&lt;sub&gt;a&lt;/sub&gt; down to find the theoretical relative humidity that the entrained ambient air would have for each horizontal cloud penetration, in case of homogeneous mixing. This allows us to evaluate both the entrainment and mixing process in the vertical dimension in addition to getting a better estimation for &lt;i&gt;N&lt;/i&gt;&lt;sub&gt;a&lt;/sub&gt;. &lt;br&gt;&lt;br&gt; We found that the derived &lt;i&gt;N&lt;/i&gt;&lt;sub&gt;a&lt;/sub&gt; from the entire profile data is highly correlated with the independent CCN measurements from below cloud base. Moreover, it was found that mixing of sub-saturated ambient air into the cloud at scales of ~100 m and above is inclined towards the extreme inhomogeneous limit, i.e. that the time scale of droplet evaporation is significantly smaller than that for turbulent mixing. This means that ambient air that entrains the cloud is pre-moistened by total evaporation of cloud droplets before it mixes deeper into the clouds where it can hardly change the droplet size distribution, hence &lt;i&gt;R&lt;/i&gt;&lt;sub&gt;e&lt;/sub&gt; remains close to its adiabatic value at any given cloud depth. However, the tendency towards the extreme inhomogeneous mixing appeared to slightly decrease with altitude, possibly due to enhanced turbulence and larger cloud drops aloft. &lt;br&gt;&lt;br&gt; Quantifying these effects, based on more examples from other projects and high resolution cloud models is essential for improving our understanding of the interactions between the cloud and its environment. These interactions may play an important role in cloud dynamics and microphysics, by affecting cloud depth and droplet size spectra, for example, and may therefore influence the cloud precipitation formation processes.&lt;/p&gt;","container-title":"Atmospheric Chemistry and Physics","DOI":"10.5194/acp-11-12887-2011","ISSN":"1680-7316","issue":"24","language":"English","note":"publisher: Copernicus GmbH","page":"12887-12900","source":"acp.copernicus.org","title":"Resolving both entrainment-mixing and number of activated CCN in deep convective clouds","volume":"11","author":[{"family":"Freud","given":"E."},{"family":"Rosenfeld","given":"D."},{"family":"Kulkarni","given":"J. R."}],"issued":{"date-parts":[["2011",12,20]]}}},{"id":357,"uris":["http://zotero.org/groups/4663654/items/YKBQJLBZ"],"itemData":{"id":357,"type":"article-journal","abstract":"This study estimates entrainment rate and investigates its relationships with cloud properties in 156 deep convective clouds based on in-situ aircraft observations during the TOGA-COARE (Tropical Ocean Global Atmosphere Coupled Ocean Atmosphere Response Experiment) field campaign over the western Pacific. To the authors’ knowledge, this is the first study on the probability density function of entrainment rate, the relationships between entrainment rate and cloud microphysics, and the effects of dry air sources on the calculated entrainment rate in deep convection from an observational perspective. Results show that the probability density function of entrainment rate can be well fitted by lognormal, gamma or Weibull distribution, with coefficients of determination being 0.82, 0.85 and 0.80, respectively. Entrainment tends to reduce temperature, water vapor content and moist static energy in cloud due to evaporative cooling and dilution. Inspection of the relationships between entrainment rate and microphysical properties reveals a negative correlation between volume-mean radius and entrainment rate, suggesting the potential dominance of homogeneous mechanism in the clouds examined. In addition, entrainment rate and environmental water vapor content show similar tendencies of variation with the distance of the assumed environmental air to the cloud edges. Their variation tendencies are non-monotonic due to the relatively short distance between adjacent clouds.","container-title":"Atmosphere","DOI":"10.3390/atmos6091362","ISSN":"2073-4433","issue":"9","language":"en","license":"http://creativecommons.org/licenses/by/3.0/","note":"number: 9\npublisher: Multidisciplinary Digital Publishing Institute","page":"1362-1376","source":"www.mdpi.com","title":"An Observational Study of Entrainment Rate in Deep Convection","volume":"6","author":[{"family":"Guo","given":"Xiaohao"},{"family":"Lu","given":"Chunsong"},{"family":"Zhao","given":"Tianliang"},{"family":"Zhang","given":"Guang J."},{"family":"Liu","given":"Yangang"}],"issued":{"date-parts":[["2015",9]]}}}],"schema":"https://github.com/citation-style-language/schema/raw/master/csl-citation.json"} </w:instrText>
      </w:r>
      <w:r w:rsidRPr="00CF0DF4">
        <w:rPr>
          <w:rFonts w:eastAsia="Times New Roman" w:cs="Times New Roman"/>
          <w:lang w:val="en-US"/>
        </w:rPr>
        <w:fldChar w:fldCharType="separate"/>
      </w:r>
      <w:r w:rsidRPr="00CF0DF4">
        <w:rPr>
          <w:rFonts w:cs="Times New Roman"/>
          <w:lang w:val="en-US"/>
        </w:rPr>
        <w:t>Freud et al. 2011; Guo et al. 2015)</w:t>
      </w:r>
      <w:r w:rsidRPr="00CF0DF4">
        <w:rPr>
          <w:rFonts w:eastAsia="Times New Roman" w:cs="Times New Roman"/>
          <w:lang w:val="en-US"/>
        </w:rPr>
        <w:fldChar w:fldCharType="end"/>
      </w:r>
      <w:r w:rsidRPr="00CF0DF4">
        <w:rPr>
          <w:rFonts w:eastAsia="Times New Roman" w:cs="Times New Roman"/>
          <w:lang w:val="en-US"/>
        </w:rPr>
        <w:t>, which would also explain the relative humidity differences.</w:t>
      </w:r>
    </w:p>
    <w:p w14:paraId="7EB56740"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4E037B46" wp14:editId="769D1A92">
            <wp:extent cx="5899460" cy="4496844"/>
            <wp:effectExtent l="0" t="0" r="6350" b="0"/>
            <wp:docPr id="30" name="Picture 3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radar char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134" b="4562"/>
                    <a:stretch/>
                  </pic:blipFill>
                  <pic:spPr bwMode="auto">
                    <a:xfrm>
                      <a:off x="0" y="0"/>
                      <a:ext cx="5899785" cy="4497092"/>
                    </a:xfrm>
                    <a:prstGeom prst="rect">
                      <a:avLst/>
                    </a:prstGeom>
                    <a:noFill/>
                    <a:ln>
                      <a:noFill/>
                    </a:ln>
                    <a:extLst>
                      <a:ext uri="{53640926-AAD7-44D8-BBD7-CCE9431645EC}">
                        <a14:shadowObscured xmlns:a14="http://schemas.microsoft.com/office/drawing/2010/main"/>
                      </a:ext>
                    </a:extLst>
                  </pic:spPr>
                </pic:pic>
              </a:graphicData>
            </a:graphic>
          </wp:inline>
        </w:drawing>
      </w:r>
    </w:p>
    <w:p w14:paraId="10470621" w14:textId="0E42EC40" w:rsidR="00317ACF" w:rsidRPr="00CF0DF4" w:rsidRDefault="00317ACF" w:rsidP="00317ACF">
      <w:pPr>
        <w:pStyle w:val="Caption-Figure"/>
      </w:pPr>
      <w:bookmarkStart w:id="115" w:name="_Ref106435047"/>
      <w:bookmarkStart w:id="116" w:name="_Toc109123141"/>
      <w:r w:rsidRPr="00CF0DF4">
        <w:t xml:space="preserve">Figure </w:t>
      </w:r>
      <w:r w:rsidRPr="00CF0DF4">
        <w:fldChar w:fldCharType="begin"/>
      </w:r>
      <w:r w:rsidRPr="00CF0DF4">
        <w:instrText>SEQ Figure \* ARABIC</w:instrText>
      </w:r>
      <w:r w:rsidRPr="00CF0DF4">
        <w:fldChar w:fldCharType="separate"/>
      </w:r>
      <w:r w:rsidR="00DB4BE3">
        <w:rPr>
          <w:noProof/>
        </w:rPr>
        <w:t>28</w:t>
      </w:r>
      <w:r w:rsidRPr="00CF0DF4">
        <w:fldChar w:fldCharType="end"/>
      </w:r>
      <w:bookmarkEnd w:id="115"/>
      <w:r w:rsidRPr="00CF0DF4">
        <w:t xml:space="preserve">: Plot showing the flight path (solid blue line) and the surface projection (dashed blue line) </w:t>
      </w:r>
      <w:r w:rsidRPr="00CF0DF4">
        <w:rPr>
          <w:noProof/>
        </w:rPr>
        <w:t>of the aircraft sampling two melting layers consecutively (</w:t>
      </w:r>
      <w:r w:rsidRPr="00CF0DF4">
        <w:rPr>
          <w:rFonts w:eastAsia="Times New Roman" w:cs="Times New Roman"/>
        </w:rPr>
        <w:t>MC3E_Ram-Des_79RH</w:t>
      </w:r>
      <w:r w:rsidRPr="00CF0DF4">
        <w:rPr>
          <w:noProof/>
        </w:rPr>
        <w:t xml:space="preserve"> and </w:t>
      </w:r>
      <w:r w:rsidRPr="00CF0DF4">
        <w:rPr>
          <w:rFonts w:eastAsia="Times New Roman" w:cs="Times New Roman"/>
        </w:rPr>
        <w:t>MC3E_Ram-Asc_83RHb</w:t>
      </w:r>
      <w:r w:rsidRPr="00CF0DF4">
        <w:rPr>
          <w:noProof/>
        </w:rPr>
        <w:t xml:space="preserve">) on 11 MAY </w:t>
      </w:r>
      <w:r w:rsidR="0071269D">
        <w:rPr>
          <w:noProof/>
        </w:rPr>
        <w:t>20</w:t>
      </w:r>
      <w:r w:rsidRPr="00CF0DF4">
        <w:rPr>
          <w:noProof/>
        </w:rPr>
        <w:t>10 during MC3E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rPr>
          <w:noProof/>
        </w:rPr>
        <w:t xml:space="preserve">. The flight path starts at the </w:t>
      </w:r>
      <w:r w:rsidRPr="00CF0DF4">
        <w:rPr>
          <w:noProof/>
        </w:rPr>
        <w:lastRenderedPageBreak/>
        <w:t xml:space="preserve">0 °C isotherm encountered during the MC3E_Ram-Des_79RH descent and ends at the 0 °C isotherm encountered during the MC3E_Ram-Asc_83RHb ascent. </w:t>
      </w:r>
      <w:r w:rsidRPr="00CF0DF4">
        <w:t>The red arrowhead indicates the direction of the aircraft. The X Distance shown is latitudinal distance while the Y Distance is longitudinal distance.</w:t>
      </w:r>
      <w:bookmarkEnd w:id="116"/>
    </w:p>
    <w:p w14:paraId="0FC2C77B"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041153B2" wp14:editId="27C4827F">
            <wp:extent cx="5887085" cy="2830830"/>
            <wp:effectExtent l="0" t="0" r="0" b="7620"/>
            <wp:docPr id="31" name="Picture 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3E6B6298" w14:textId="42376F01" w:rsidR="00317ACF" w:rsidRPr="00CF0DF4" w:rsidRDefault="00317ACF" w:rsidP="00317ACF">
      <w:pPr>
        <w:pStyle w:val="Caption-Figure"/>
      </w:pPr>
      <w:bookmarkStart w:id="117" w:name="_Ref106435054"/>
      <w:bookmarkStart w:id="118" w:name="_Toc109123142"/>
      <w:r w:rsidRPr="00CF0DF4">
        <w:t xml:space="preserve">Figure </w:t>
      </w:r>
      <w:r w:rsidRPr="00CF0DF4">
        <w:fldChar w:fldCharType="begin"/>
      </w:r>
      <w:r w:rsidRPr="00CF0DF4">
        <w:instrText>SEQ Figure \* ARABIC</w:instrText>
      </w:r>
      <w:r w:rsidRPr="00CF0DF4">
        <w:fldChar w:fldCharType="separate"/>
      </w:r>
      <w:r w:rsidR="00DB4BE3">
        <w:rPr>
          <w:noProof/>
        </w:rPr>
        <w:t>29</w:t>
      </w:r>
      <w:r w:rsidRPr="00CF0DF4">
        <w:fldChar w:fldCharType="end"/>
      </w:r>
      <w:bookmarkEnd w:id="117"/>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MC3E_Ram-Des_79RH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8"/>
    </w:p>
    <w:p w14:paraId="38B241CD"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38CF09C5" wp14:editId="79B696EA">
            <wp:extent cx="5887085" cy="2830830"/>
            <wp:effectExtent l="0" t="0" r="0" b="7620"/>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2993347C" w14:textId="6D57BED6" w:rsidR="00317ACF" w:rsidRPr="00CF0DF4" w:rsidRDefault="00317ACF" w:rsidP="00317ACF">
      <w:pPr>
        <w:pStyle w:val="Caption-Figure"/>
      </w:pPr>
      <w:bookmarkStart w:id="119" w:name="_Ref106435060"/>
      <w:bookmarkStart w:id="120" w:name="_Toc109123143"/>
      <w:r w:rsidRPr="00CF0DF4">
        <w:t xml:space="preserve">Figure </w:t>
      </w:r>
      <w:r w:rsidRPr="00CF0DF4">
        <w:fldChar w:fldCharType="begin"/>
      </w:r>
      <w:r w:rsidRPr="00CF0DF4">
        <w:instrText>SEQ Figure \* ARABIC</w:instrText>
      </w:r>
      <w:r w:rsidRPr="00CF0DF4">
        <w:fldChar w:fldCharType="separate"/>
      </w:r>
      <w:r w:rsidR="00DB4BE3">
        <w:rPr>
          <w:noProof/>
        </w:rPr>
        <w:t>30</w:t>
      </w:r>
      <w:r w:rsidRPr="00CF0DF4">
        <w:fldChar w:fldCharType="end"/>
      </w:r>
      <w:bookmarkEnd w:id="119"/>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MC3E_Ram-Asc_83RHb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0"/>
    </w:p>
    <w:p w14:paraId="0F5138D0" w14:textId="3A27356A" w:rsidR="00317ACF" w:rsidRPr="00CF0DF4" w:rsidRDefault="00317ACF" w:rsidP="00317ACF">
      <w:pPr>
        <w:pStyle w:val="Body"/>
        <w:rPr>
          <w:rFonts w:eastAsia="Times New Roman" w:cs="Times New Roman"/>
          <w:lang w:val="en-US"/>
        </w:rPr>
      </w:pPr>
      <w:r w:rsidRPr="00CF0DF4">
        <w:rPr>
          <w:rFonts w:eastAsia="Times New Roman" w:cs="Times New Roman"/>
          <w:lang w:val="en-US"/>
        </w:rPr>
        <w:t xml:space="preserve">Three melting layers are sampled below 75 percent relative humidity. During </w:t>
      </w:r>
      <w:r w:rsidR="009F17F8" w:rsidRPr="00CF0DF4">
        <w:rPr>
          <w:lang w:val="en-US"/>
        </w:rPr>
        <w:t>MC3E_Spi-Des_75RH</w:t>
      </w:r>
      <w:r w:rsidRPr="00CF0DF4">
        <w:rPr>
          <w:rFonts w:eastAsia="Times New Roman" w:cs="Times New Roman"/>
          <w:lang w:val="en-US"/>
        </w:rPr>
        <w:t xml:space="preserve">, area ratio evolves similarly to other cases where it does not begin to increase until </w:t>
      </w:r>
      <w:r w:rsidRPr="00CF0DF4">
        <w:rPr>
          <w:rFonts w:eastAsia="Times New Roman" w:cs="Times New Roman"/>
          <w:lang w:val="en-US"/>
        </w:rPr>
        <w:lastRenderedPageBreak/>
        <w:t>below the 0 °C ice-bulb isotherm (</w:t>
      </w:r>
      <w:r w:rsidRPr="00CF0DF4">
        <w:rPr>
          <w:rFonts w:eastAsia="Times New Roman" w:cs="Times New Roman"/>
          <w:lang w:val="en-US"/>
        </w:rPr>
        <w:fldChar w:fldCharType="begin"/>
      </w:r>
      <w:r w:rsidRPr="00CF0DF4">
        <w:rPr>
          <w:rFonts w:eastAsia="Times New Roman" w:cs="Times New Roman"/>
          <w:lang w:val="en-US"/>
        </w:rPr>
        <w:instrText xml:space="preserve"> REF _Ref106432561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31</w:t>
      </w:r>
      <w:r w:rsidRPr="00CF0DF4">
        <w:rPr>
          <w:rFonts w:eastAsia="Times New Roman" w:cs="Times New Roman"/>
          <w:lang w:val="en-US"/>
        </w:rPr>
        <w:fldChar w:fldCharType="end"/>
      </w:r>
      <w:r w:rsidRPr="00CF0DF4">
        <w:rPr>
          <w:rFonts w:eastAsia="Times New Roman" w:cs="Times New Roman"/>
          <w:lang w:val="en-US"/>
        </w:rPr>
        <w:t xml:space="preserve">). </w:t>
      </w:r>
      <w:r w:rsidR="00781424">
        <w:rPr>
          <w:rFonts w:eastAsia="Times New Roman" w:cs="Times New Roman"/>
          <w:lang w:val="en-US"/>
        </w:rPr>
        <w:t>Hydrometeor</w:t>
      </w:r>
      <w:r w:rsidRPr="00CF0DF4">
        <w:rPr>
          <w:rFonts w:eastAsia="Times New Roman" w:cs="Times New Roman"/>
          <w:lang w:val="en-US"/>
        </w:rPr>
        <w:t xml:space="preserve"> concentration decreases with decreasing altitude, likely due to the greatly subsaturated conditions as relative humidity also decreases with decreasing altitude. During </w:t>
      </w:r>
      <w:r w:rsidR="00567B86" w:rsidRPr="00CF0DF4">
        <w:rPr>
          <w:rFonts w:eastAsia="Times New Roman" w:cs="Times New Roman"/>
          <w:lang w:val="en-US"/>
        </w:rPr>
        <w:t>GCPEX_Ram-Des_71RH</w:t>
      </w:r>
      <w:r w:rsidRPr="00CF0DF4">
        <w:rPr>
          <w:rFonts w:eastAsia="Times New Roman" w:cs="Times New Roman"/>
          <w:lang w:val="en-US"/>
        </w:rPr>
        <w:t>, maximum diameter is decreasing above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_Ref106432682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32</w:t>
      </w:r>
      <w:r w:rsidRPr="00CF0DF4">
        <w:rPr>
          <w:rFonts w:eastAsia="Times New Roman" w:cs="Times New Roman"/>
          <w:lang w:val="en-US"/>
        </w:rPr>
        <w:fldChar w:fldCharType="end"/>
      </w:r>
      <w:r w:rsidRPr="00CF0DF4">
        <w:rPr>
          <w:rFonts w:eastAsia="Times New Roman" w:cs="Times New Roman"/>
          <w:lang w:val="en-US"/>
        </w:rPr>
        <w:t>). In the top 150 m of the melting layer, maximum diameter increases t</w:t>
      </w:r>
      <w:r w:rsidR="00145F9A" w:rsidRPr="00CF0DF4">
        <w:rPr>
          <w:rFonts w:eastAsia="Times New Roman" w:cs="Times New Roman"/>
          <w:lang w:val="en-US"/>
        </w:rPr>
        <w:t>o</w:t>
      </w:r>
      <w:r w:rsidRPr="00CF0DF4">
        <w:rPr>
          <w:rFonts w:eastAsia="Times New Roman" w:cs="Times New Roman"/>
          <w:lang w:val="en-US"/>
        </w:rPr>
        <w:t xml:space="preserve"> </w:t>
      </w:r>
      <w:r w:rsidR="00634559" w:rsidRPr="00CF0DF4">
        <w:rPr>
          <w:rFonts w:eastAsia="Times New Roman" w:cs="Times New Roman"/>
          <w:lang w:val="en-US"/>
        </w:rPr>
        <w:t>approximately 6</w:t>
      </w:r>
      <w:r w:rsidRPr="00CF0DF4">
        <w:rPr>
          <w:rFonts w:eastAsia="Times New Roman" w:cs="Times New Roman"/>
          <w:lang w:val="en-US"/>
        </w:rPr>
        <w:t xml:space="preserve">,000 µm, likely due to enhanced aggregation, even with relative humidity around 70 percent. In the lower 150 m of the melting layer, maximum diameter decreases as area ratio increases; however, </w:t>
      </w:r>
      <w:r w:rsidR="00A848A9" w:rsidRPr="00CF0DF4">
        <w:rPr>
          <w:rFonts w:eastAsia="Times New Roman" w:cs="Times New Roman"/>
          <w:lang w:val="en-US"/>
        </w:rPr>
        <w:t>the HVPS3 measures zero counts</w:t>
      </w:r>
      <w:r w:rsidR="00E64BF3" w:rsidRPr="00CF0DF4">
        <w:rPr>
          <w:rFonts w:eastAsia="Times New Roman" w:cs="Times New Roman"/>
          <w:lang w:val="en-US"/>
        </w:rPr>
        <w:t>, suggesting that</w:t>
      </w:r>
      <w:r w:rsidRPr="00CF0DF4">
        <w:rPr>
          <w:rFonts w:eastAsia="Times New Roman" w:cs="Times New Roman"/>
          <w:lang w:val="en-US"/>
        </w:rPr>
        <w:t xml:space="preserve"> the aircraft goes in and out of clouds.</w:t>
      </w:r>
    </w:p>
    <w:p w14:paraId="39FD4D25"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6CC892BB" wp14:editId="65B1F65C">
            <wp:extent cx="5886450" cy="2828925"/>
            <wp:effectExtent l="0" t="0" r="0" b="9525"/>
            <wp:docPr id="55" name="Picture 5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0" cy="2828925"/>
                    </a:xfrm>
                    <a:prstGeom prst="rect">
                      <a:avLst/>
                    </a:prstGeom>
                    <a:noFill/>
                    <a:ln>
                      <a:noFill/>
                    </a:ln>
                  </pic:spPr>
                </pic:pic>
              </a:graphicData>
            </a:graphic>
          </wp:inline>
        </w:drawing>
      </w:r>
    </w:p>
    <w:p w14:paraId="45854627" w14:textId="12AA105F" w:rsidR="00317ACF" w:rsidRPr="00CF0DF4" w:rsidRDefault="00317ACF" w:rsidP="00317ACF">
      <w:pPr>
        <w:pStyle w:val="Caption-Figure"/>
      </w:pPr>
      <w:bookmarkStart w:id="121" w:name="_Ref106432561"/>
      <w:bookmarkStart w:id="122" w:name="_Toc109123144"/>
      <w:r w:rsidRPr="00CF0DF4">
        <w:t xml:space="preserve">Figure </w:t>
      </w:r>
      <w:r w:rsidRPr="00CF0DF4">
        <w:fldChar w:fldCharType="begin"/>
      </w:r>
      <w:r w:rsidRPr="00CF0DF4">
        <w:instrText>SEQ Figure \* ARABIC</w:instrText>
      </w:r>
      <w:r w:rsidRPr="00CF0DF4">
        <w:fldChar w:fldCharType="separate"/>
      </w:r>
      <w:r w:rsidR="00DB4BE3">
        <w:rPr>
          <w:noProof/>
        </w:rPr>
        <w:t>31</w:t>
      </w:r>
      <w:r w:rsidRPr="00CF0DF4">
        <w:fldChar w:fldCharType="end"/>
      </w:r>
      <w:bookmarkEnd w:id="121"/>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MC3E_Spi-Des_75RH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2"/>
    </w:p>
    <w:p w14:paraId="24E12B79"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77450CF2" wp14:editId="2F0EA4D7">
            <wp:extent cx="5886450" cy="2828925"/>
            <wp:effectExtent l="0" t="0" r="0" b="9525"/>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86450" cy="2828925"/>
                    </a:xfrm>
                    <a:prstGeom prst="rect">
                      <a:avLst/>
                    </a:prstGeom>
                    <a:noFill/>
                    <a:ln>
                      <a:noFill/>
                    </a:ln>
                  </pic:spPr>
                </pic:pic>
              </a:graphicData>
            </a:graphic>
          </wp:inline>
        </w:drawing>
      </w:r>
    </w:p>
    <w:p w14:paraId="6D4D8A9C" w14:textId="1433D1A8" w:rsidR="00317ACF" w:rsidRPr="00CF0DF4" w:rsidRDefault="00317ACF" w:rsidP="00317ACF">
      <w:pPr>
        <w:pStyle w:val="Caption-Figure"/>
      </w:pPr>
      <w:bookmarkStart w:id="123" w:name="_Ref106432682"/>
      <w:bookmarkStart w:id="124" w:name="_Toc109123145"/>
      <w:r w:rsidRPr="00CF0DF4">
        <w:t xml:space="preserve">Figure </w:t>
      </w:r>
      <w:r w:rsidRPr="00CF0DF4">
        <w:fldChar w:fldCharType="begin"/>
      </w:r>
      <w:r w:rsidRPr="00CF0DF4">
        <w:instrText>SEQ Figure \* ARABIC</w:instrText>
      </w:r>
      <w:r w:rsidRPr="00CF0DF4">
        <w:fldChar w:fldCharType="separate"/>
      </w:r>
      <w:r w:rsidR="00DB4BE3">
        <w:rPr>
          <w:noProof/>
        </w:rPr>
        <w:t>32</w:t>
      </w:r>
      <w:r w:rsidRPr="00CF0DF4">
        <w:fldChar w:fldCharType="end"/>
      </w:r>
      <w:bookmarkEnd w:id="123"/>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00567B86" w:rsidRPr="00CF0DF4">
        <w:t xml:space="preserve">GCPEX_Ram-Des_71RH </w:t>
      </w:r>
      <w:r w:rsidRPr="00CF0DF4">
        <w:t>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4"/>
    </w:p>
    <w:p w14:paraId="52CB71B7" w14:textId="2266C931" w:rsidR="00317ACF" w:rsidRPr="00CF0DF4" w:rsidRDefault="00317ACF" w:rsidP="00317ACF">
      <w:pPr>
        <w:pStyle w:val="Body"/>
        <w:rPr>
          <w:rFonts w:eastAsia="Times New Roman" w:cs="Times New Roman"/>
          <w:lang w:val="en-US"/>
        </w:rPr>
      </w:pPr>
      <w:r w:rsidRPr="00CF0DF4">
        <w:rPr>
          <w:rFonts w:eastAsia="Times New Roman" w:cs="Times New Roman"/>
          <w:lang w:val="en-US"/>
        </w:rPr>
        <w:t>The lowest relative humidity case is MC3E</w:t>
      </w:r>
      <w:r w:rsidR="008E77D5">
        <w:rPr>
          <w:rFonts w:eastAsia="Times New Roman" w:cs="Times New Roman"/>
          <w:lang w:val="en-US"/>
        </w:rPr>
        <w:t>_Spi-</w:t>
      </w:r>
      <w:r w:rsidRPr="00CF0DF4">
        <w:rPr>
          <w:rFonts w:eastAsia="Times New Roman" w:cs="Times New Roman"/>
          <w:lang w:val="en-US"/>
        </w:rPr>
        <w:t xml:space="preserve">Des_63RH. Despite the 63 percent relative humidity, total </w:t>
      </w:r>
      <w:r w:rsidR="00781424">
        <w:rPr>
          <w:rFonts w:eastAsia="Times New Roman" w:cs="Times New Roman"/>
          <w:lang w:val="en-US"/>
        </w:rPr>
        <w:t>hydrometeor</w:t>
      </w:r>
      <w:r w:rsidRPr="00CF0DF4">
        <w:rPr>
          <w:rFonts w:eastAsia="Times New Roman" w:cs="Times New Roman"/>
          <w:lang w:val="en-US"/>
        </w:rPr>
        <w:t xml:space="preserve"> concentration remained high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However, the concentration of </w:t>
      </w:r>
      <w:r w:rsidR="00781424">
        <w:rPr>
          <w:rFonts w:eastAsia="Times New Roman" w:cs="Times New Roman"/>
          <w:lang w:val="en-US"/>
        </w:rPr>
        <w:t>hydrometeors</w:t>
      </w:r>
      <w:r w:rsidRPr="00CF0DF4">
        <w:rPr>
          <w:rFonts w:eastAsia="Times New Roman" w:cs="Times New Roman"/>
          <w:lang w:val="en-US"/>
        </w:rPr>
        <w:t xml:space="preserve"> between 800 µm and 1,110 µm slowly decreases until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In a depth of </w:t>
      </w:r>
      <w:r w:rsidR="00EC6DBA" w:rsidRPr="00CF0DF4">
        <w:rPr>
          <w:rFonts w:eastAsia="Times New Roman" w:cs="Times New Roman"/>
          <w:lang w:val="en-US"/>
        </w:rPr>
        <w:t>approximately</w:t>
      </w:r>
      <w:r w:rsidRPr="00CF0DF4">
        <w:rPr>
          <w:rFonts w:eastAsia="Times New Roman" w:cs="Times New Roman"/>
          <w:lang w:val="en-US"/>
        </w:rPr>
        <w:t xml:space="preserve"> 100 m below the melting layer top, maximum diameter increases from </w:t>
      </w:r>
      <w:r w:rsidR="0043070B" w:rsidRPr="00CF0DF4">
        <w:rPr>
          <w:rFonts w:eastAsia="Times New Roman" w:cs="Times New Roman"/>
          <w:lang w:val="en-US"/>
        </w:rPr>
        <w:t>approximately</w:t>
      </w:r>
      <w:r w:rsidRPr="00CF0DF4">
        <w:rPr>
          <w:rFonts w:eastAsia="Times New Roman" w:cs="Times New Roman"/>
          <w:lang w:val="en-US"/>
        </w:rPr>
        <w:t xml:space="preserve"> 11,000 µm to 14,000 µm, suggesting that aggregation is still occurring even in relative humidity conditions of </w:t>
      </w:r>
      <w:r w:rsidR="0043070B" w:rsidRPr="00CF0DF4">
        <w:rPr>
          <w:rFonts w:eastAsia="Times New Roman" w:cs="Times New Roman"/>
          <w:lang w:val="en-US"/>
        </w:rPr>
        <w:t>approximately</w:t>
      </w:r>
      <w:r w:rsidRPr="00CF0DF4">
        <w:rPr>
          <w:rFonts w:eastAsia="Times New Roman" w:cs="Times New Roman"/>
          <w:lang w:val="en-US"/>
        </w:rPr>
        <w:t xml:space="preserve"> 75 percent. Below the melting layer top, maximum diameter and concentration slowly decreases. Area ratio increases from the smallest to largest </w:t>
      </w:r>
      <w:r w:rsidR="00781424">
        <w:rPr>
          <w:rFonts w:eastAsia="Times New Roman" w:cs="Times New Roman"/>
          <w:lang w:val="en-US"/>
        </w:rPr>
        <w:t>hydrometeors</w:t>
      </w:r>
      <w:r w:rsidRPr="00CF0DF4">
        <w:rPr>
          <w:rFonts w:eastAsia="Times New Roman" w:cs="Times New Roman"/>
          <w:lang w:val="en-US"/>
        </w:rPr>
        <w:t xml:space="preserve"> from</w:t>
      </w:r>
      <w:r w:rsidR="00E64BF3" w:rsidRPr="00CF0DF4">
        <w:rPr>
          <w:rFonts w:eastAsia="Times New Roman" w:cs="Times New Roman"/>
          <w:lang w:val="en-US"/>
        </w:rPr>
        <w:t xml:space="preserve"> </w:t>
      </w:r>
      <w:r w:rsidRPr="00CF0DF4">
        <w:rPr>
          <w:rFonts w:eastAsia="Times New Roman" w:cs="Times New Roman"/>
          <w:lang w:val="en-US"/>
        </w:rPr>
        <w:t>0.3-0.6 to 0.7-0.9. From the exponential fit, the intercept parameter decreases from above the melting layer to the top, while the slope parameter slightly increases from 0 °C air temperature to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_Ref106434146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34</w:t>
      </w:r>
      <w:r w:rsidRPr="00CF0DF4">
        <w:rPr>
          <w:rFonts w:eastAsia="Times New Roman" w:cs="Times New Roman"/>
          <w:lang w:val="en-US"/>
        </w:rPr>
        <w:fldChar w:fldCharType="end"/>
      </w:r>
      <w:r w:rsidRPr="00CF0DF4">
        <w:rPr>
          <w:rFonts w:eastAsia="Times New Roman" w:cs="Times New Roman"/>
          <w:lang w:val="en-US"/>
        </w:rPr>
        <w:t xml:space="preserve">). In the melting layer, the parameters vary, likely due to </w:t>
      </w:r>
      <w:r w:rsidR="003921CE" w:rsidRPr="00CF0DF4">
        <w:rPr>
          <w:rFonts w:eastAsia="Times New Roman" w:cs="Times New Roman"/>
          <w:lang w:val="en-US"/>
        </w:rPr>
        <w:t xml:space="preserve">zero </w:t>
      </w:r>
      <w:r w:rsidR="00781424">
        <w:rPr>
          <w:rFonts w:eastAsia="Times New Roman" w:cs="Times New Roman"/>
          <w:lang w:val="en-US"/>
        </w:rPr>
        <w:t>hydrometeor</w:t>
      </w:r>
      <w:r w:rsidR="003921CE" w:rsidRPr="00CF0DF4">
        <w:rPr>
          <w:rFonts w:eastAsia="Times New Roman" w:cs="Times New Roman"/>
          <w:lang w:val="en-US"/>
        </w:rPr>
        <w:t xml:space="preserve"> counts resulting in less consistent concentration measurements </w:t>
      </w:r>
      <w:r w:rsidRPr="00CF0DF4">
        <w:rPr>
          <w:rFonts w:eastAsia="Times New Roman" w:cs="Times New Roman"/>
          <w:lang w:val="en-US"/>
        </w:rPr>
        <w:t>from the HVPS3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However, the intercept parameters trend downward through the melting layer, and the slope parameter first trends upward until about the middle of the melting layer before decreasing to a local minimum when all </w:t>
      </w:r>
      <w:r w:rsidR="00781424">
        <w:rPr>
          <w:rFonts w:eastAsia="Times New Roman" w:cs="Times New Roman"/>
          <w:lang w:val="en-US"/>
        </w:rPr>
        <w:t>hydrometeors</w:t>
      </w:r>
      <w:r w:rsidRPr="00CF0DF4">
        <w:rPr>
          <w:rFonts w:eastAsia="Times New Roman" w:cs="Times New Roman"/>
          <w:lang w:val="en-US"/>
        </w:rPr>
        <w:t xml:space="preserve"> are melted (FIG). </w:t>
      </w:r>
      <w:r w:rsidRPr="00CF0DF4">
        <w:rPr>
          <w:rFonts w:eastAsia="Times New Roman" w:cs="Times New Roman"/>
          <w:lang w:val="en-US"/>
        </w:rPr>
        <w:lastRenderedPageBreak/>
        <w:t xml:space="preserve">Below the melting layer, the intercept parameter starts to increase, collocated with an increase in concentration of </w:t>
      </w:r>
      <w:r w:rsidR="00781424">
        <w:rPr>
          <w:rFonts w:eastAsia="Times New Roman" w:cs="Times New Roman"/>
          <w:lang w:val="en-US"/>
        </w:rPr>
        <w:t>hydrometeors</w:t>
      </w:r>
      <w:r w:rsidRPr="00CF0DF4">
        <w:rPr>
          <w:rFonts w:eastAsia="Times New Roman" w:cs="Times New Roman"/>
          <w:lang w:val="en-US"/>
        </w:rPr>
        <w:t xml:space="preserve"> smaller than 10</w:t>
      </w:r>
      <w:r w:rsidRPr="00CF0DF4">
        <w:rPr>
          <w:rFonts w:eastAsia="Times New Roman" w:cs="Times New Roman"/>
          <w:vertAlign w:val="superscript"/>
          <w:lang w:val="en-US"/>
        </w:rPr>
        <w:t>3</w:t>
      </w:r>
      <w:r w:rsidRPr="00CF0DF4">
        <w:rPr>
          <w:rFonts w:eastAsia="Times New Roman" w:cs="Times New Roman"/>
          <w:lang w:val="en-US"/>
        </w:rPr>
        <w:t xml:space="preserve"> µm (</w:t>
      </w:r>
      <w:r w:rsidRPr="00CF0DF4">
        <w:rPr>
          <w:rFonts w:eastAsia="Times New Roman" w:cs="Times New Roman"/>
          <w:lang w:val="en-US"/>
        </w:rPr>
        <w:fldChar w:fldCharType="begin"/>
      </w:r>
      <w:r w:rsidRPr="00CF0DF4">
        <w:rPr>
          <w:rFonts w:eastAsia="Times New Roman" w:cs="Times New Roman"/>
          <w:lang w:val="en-US"/>
        </w:rPr>
        <w:instrText xml:space="preserve"> REF _Ref106434146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34</w:t>
      </w:r>
      <w:r w:rsidRPr="00CF0DF4">
        <w:rPr>
          <w:rFonts w:eastAsia="Times New Roman" w:cs="Times New Roman"/>
          <w:lang w:val="en-US"/>
        </w:rPr>
        <w:fldChar w:fldCharType="end"/>
      </w:r>
      <w:r w:rsidRPr="00CF0DF4">
        <w:rPr>
          <w:rFonts w:eastAsia="Times New Roman" w:cs="Times New Roman"/>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The slope parameter does not change much below the melting layer due to the increases in intercept parameter, maximum diameter, and </w:t>
      </w:r>
      <w:r w:rsidR="00781424">
        <w:rPr>
          <w:rFonts w:eastAsia="Times New Roman" w:cs="Times New Roman"/>
          <w:lang w:val="en-US"/>
        </w:rPr>
        <w:t>hydrometeor</w:t>
      </w:r>
      <w:r w:rsidRPr="00CF0DF4">
        <w:rPr>
          <w:rFonts w:eastAsia="Times New Roman" w:cs="Times New Roman"/>
          <w:lang w:val="en-US"/>
        </w:rPr>
        <w:t xml:space="preserve"> concentration of </w:t>
      </w:r>
      <w:r w:rsidR="00781424">
        <w:rPr>
          <w:rFonts w:eastAsia="Times New Roman" w:cs="Times New Roman"/>
          <w:lang w:val="en-US"/>
        </w:rPr>
        <w:t>hydrometeors</w:t>
      </w:r>
      <w:r w:rsidRPr="00CF0DF4">
        <w:rPr>
          <w:rFonts w:eastAsia="Times New Roman" w:cs="Times New Roman"/>
          <w:lang w:val="en-US"/>
        </w:rPr>
        <w:t xml:space="preserve"> larger than 10</w:t>
      </w:r>
      <w:r w:rsidRPr="00CF0DF4">
        <w:rPr>
          <w:rFonts w:eastAsia="Times New Roman" w:cs="Times New Roman"/>
          <w:vertAlign w:val="superscript"/>
          <w:lang w:val="en-US"/>
        </w:rPr>
        <w:t>3</w:t>
      </w:r>
      <w:r w:rsidRPr="00CF0DF4">
        <w:rPr>
          <w:rFonts w:eastAsia="Times New Roman" w:cs="Times New Roman"/>
          <w:lang w:val="en-US"/>
        </w:rPr>
        <w:t xml:space="preserve"> µm (</w:t>
      </w:r>
      <w:r w:rsidRPr="00CF0DF4">
        <w:rPr>
          <w:rFonts w:eastAsia="Times New Roman" w:cs="Times New Roman"/>
          <w:lang w:val="en-US"/>
        </w:rPr>
        <w:fldChar w:fldCharType="begin"/>
      </w:r>
      <w:r w:rsidRPr="00CF0DF4">
        <w:rPr>
          <w:rFonts w:eastAsia="Times New Roman" w:cs="Times New Roman"/>
          <w:lang w:val="en-US"/>
        </w:rPr>
        <w:instrText xml:space="preserve"> REF _Ref106434146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34</w:t>
      </w:r>
      <w:r w:rsidRPr="00CF0DF4">
        <w:rPr>
          <w:rFonts w:eastAsia="Times New Roman" w:cs="Times New Roman"/>
          <w:lang w:val="en-US"/>
        </w:rPr>
        <w:fldChar w:fldCharType="end"/>
      </w:r>
      <w:r w:rsidRPr="00CF0DF4">
        <w:rPr>
          <w:rFonts w:eastAsia="Times New Roman" w:cs="Times New Roman"/>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w:t>
      </w:r>
    </w:p>
    <w:p w14:paraId="61D65AD0" w14:textId="77777777" w:rsidR="00317ACF" w:rsidRPr="00CF0DF4" w:rsidRDefault="00317ACF" w:rsidP="00317ACF">
      <w:pPr>
        <w:pStyle w:val="Figure"/>
        <w:keepNext/>
        <w:jc w:val="left"/>
        <w:rPr>
          <w:lang w:val="en-US"/>
        </w:rPr>
      </w:pPr>
      <w:r w:rsidRPr="00CF0DF4">
        <w:rPr>
          <w:noProof/>
          <w:lang w:val="en-US" w:eastAsia="en-US" w:bidi="ar-SA"/>
        </w:rPr>
        <w:drawing>
          <wp:inline distT="0" distB="0" distL="0" distR="0" wp14:anchorId="5FD68892" wp14:editId="44423948">
            <wp:extent cx="5895975" cy="2847975"/>
            <wp:effectExtent l="0" t="0" r="9525" b="9525"/>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95975" cy="2847975"/>
                    </a:xfrm>
                    <a:prstGeom prst="rect">
                      <a:avLst/>
                    </a:prstGeom>
                    <a:noFill/>
                    <a:ln>
                      <a:noFill/>
                    </a:ln>
                  </pic:spPr>
                </pic:pic>
              </a:graphicData>
            </a:graphic>
          </wp:inline>
        </w:drawing>
      </w:r>
    </w:p>
    <w:p w14:paraId="7766B586" w14:textId="0032E683" w:rsidR="00317ACF" w:rsidRPr="00CF0DF4" w:rsidRDefault="00317ACF" w:rsidP="00317ACF">
      <w:pPr>
        <w:pStyle w:val="Caption-Figure"/>
      </w:pPr>
      <w:bookmarkStart w:id="125" w:name="_Ref106434104"/>
      <w:bookmarkStart w:id="126" w:name="_Toc109123146"/>
      <w:r w:rsidRPr="00CF0DF4">
        <w:t xml:space="preserve">Figure </w:t>
      </w:r>
      <w:r w:rsidRPr="00CF0DF4">
        <w:fldChar w:fldCharType="begin"/>
      </w:r>
      <w:r w:rsidRPr="00CF0DF4">
        <w:instrText>SEQ Figure \* ARABIC</w:instrText>
      </w:r>
      <w:r w:rsidRPr="00CF0DF4">
        <w:fldChar w:fldCharType="separate"/>
      </w:r>
      <w:r w:rsidR="00DB4BE3">
        <w:rPr>
          <w:noProof/>
        </w:rPr>
        <w:t>33</w:t>
      </w:r>
      <w:r w:rsidRPr="00CF0DF4">
        <w:fldChar w:fldCharType="end"/>
      </w:r>
      <w:bookmarkEnd w:id="125"/>
      <w:r w:rsidRPr="00CF0DF4">
        <w:t xml:space="preserve">: </w:t>
      </w:r>
      <w:r w:rsidR="0094297E" w:rsidRPr="00CF0DF4">
        <w:t xml:space="preserve">Plots </w:t>
      </w:r>
      <w:proofErr w:type="gramStart"/>
      <w:r w:rsidR="0094297E" w:rsidRPr="00CF0DF4">
        <w:t>similar to</w:t>
      </w:r>
      <w:proofErr w:type="gramEnd"/>
      <w:r w:rsidR="0094297E" w:rsidRPr="00CF0DF4">
        <w:t xml:space="preserve">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w:t>
      </w:r>
      <w:r w:rsidR="008E77D5">
        <w:t>_Spi-</w:t>
      </w:r>
      <w:r w:rsidRPr="00CF0DF4">
        <w:t>Des_63RH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6"/>
    </w:p>
    <w:p w14:paraId="3A4EDF53"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3B9C5CBE" wp14:editId="789EB9D7">
            <wp:extent cx="5905500" cy="5076825"/>
            <wp:effectExtent l="0" t="0" r="0" b="952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7EDA408D" w14:textId="2D405080" w:rsidR="00317ACF" w:rsidRPr="00CF0DF4" w:rsidRDefault="00317ACF" w:rsidP="00317ACF">
      <w:pPr>
        <w:pStyle w:val="Caption-Figure"/>
      </w:pPr>
      <w:bookmarkStart w:id="127" w:name="_Ref106434146"/>
      <w:bookmarkStart w:id="128" w:name="_Toc109123147"/>
      <w:r w:rsidRPr="00CF0DF4">
        <w:t xml:space="preserve">Figure </w:t>
      </w:r>
      <w:r w:rsidRPr="00CF0DF4">
        <w:fldChar w:fldCharType="begin"/>
      </w:r>
      <w:r w:rsidRPr="00CF0DF4">
        <w:instrText>SEQ Figure \* ARABIC</w:instrText>
      </w:r>
      <w:r w:rsidRPr="00CF0DF4">
        <w:fldChar w:fldCharType="separate"/>
      </w:r>
      <w:r w:rsidR="00DB4BE3">
        <w:rPr>
          <w:noProof/>
        </w:rPr>
        <w:t>34</w:t>
      </w:r>
      <w:r w:rsidRPr="00CF0DF4">
        <w:fldChar w:fldCharType="end"/>
      </w:r>
      <w:bookmarkEnd w:id="127"/>
      <w:r w:rsidRPr="00CF0DF4">
        <w:rPr>
          <w:noProof/>
        </w:rPr>
        <w:t>:</w:t>
      </w:r>
      <w:r w:rsidRPr="00CF0DF4">
        <w:t xml:space="preserve"> Plots </w:t>
      </w:r>
      <w:proofErr w:type="gramStart"/>
      <w:r w:rsidR="00D65B26">
        <w:t>similar to</w:t>
      </w:r>
      <w:proofErr w:type="gramEnd"/>
      <w:r w:rsidR="00D65B26">
        <w:t xml:space="preserve"> </w:t>
      </w:r>
      <w:r w:rsidRPr="00CF0DF4">
        <w:fldChar w:fldCharType="begin"/>
      </w:r>
      <w:r w:rsidRPr="00CF0DF4">
        <w:instrText xml:space="preserve"> REF _Ref105171908 \h </w:instrText>
      </w:r>
      <w:r w:rsidRPr="00CF0DF4">
        <w:fldChar w:fldCharType="separate"/>
      </w:r>
      <w:r w:rsidR="00DB4BE3" w:rsidRPr="00CF0DF4">
        <w:t xml:space="preserve">Figure </w:t>
      </w:r>
      <w:r w:rsidR="00DB4BE3">
        <w:rPr>
          <w:noProof/>
        </w:rPr>
        <w:t>12</w:t>
      </w:r>
      <w:r w:rsidRPr="00CF0DF4">
        <w:fldChar w:fldCharType="end"/>
      </w:r>
      <w:r w:rsidRPr="00CF0DF4">
        <w:t xml:space="preserve">, except </w:t>
      </w:r>
      <w:r w:rsidR="00D65B26">
        <w:t>for</w:t>
      </w:r>
      <w:r w:rsidR="00F5188B">
        <w:t xml:space="preserve"> showing the melting layer for</w:t>
      </w:r>
      <w:r w:rsidRPr="00CF0DF4">
        <w:t xml:space="preserve"> the MC3E</w:t>
      </w:r>
      <w:r w:rsidR="008E77D5">
        <w:t>_Spi-</w:t>
      </w:r>
      <w:r w:rsidRPr="00CF0DF4">
        <w:t>Des_63RH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8"/>
    </w:p>
    <w:p w14:paraId="3555742A" w14:textId="15EB536B" w:rsidR="00BB2CF7" w:rsidRPr="00CF0DF4" w:rsidRDefault="00317ACF" w:rsidP="00317ACF">
      <w:pPr>
        <w:pStyle w:val="Heading1"/>
        <w:rPr>
          <w:lang w:val="en-US"/>
        </w:rPr>
      </w:pPr>
      <w:r w:rsidRPr="00CF0DF4">
        <w:rPr>
          <w:lang w:val="en-US"/>
        </w:rPr>
        <w:br w:type="page"/>
      </w:r>
      <w:bookmarkStart w:id="129" w:name="_Toc109123109"/>
      <w:r w:rsidR="00BB2CF7" w:rsidRPr="00CF0DF4">
        <w:rPr>
          <w:lang w:val="en-US"/>
        </w:rPr>
        <w:lastRenderedPageBreak/>
        <w:t>CHAPTER 5</w:t>
      </w:r>
      <w:bookmarkEnd w:id="69"/>
      <w:r w:rsidR="00592FF5" w:rsidRPr="00CF0DF4">
        <w:rPr>
          <w:lang w:val="en-US"/>
        </w:rPr>
        <w:br/>
      </w:r>
      <w:r w:rsidR="00A31F6F" w:rsidRPr="00CF0DF4">
        <w:rPr>
          <w:lang w:val="en-US"/>
        </w:rPr>
        <w:t xml:space="preserve">SUMMARY AND </w:t>
      </w:r>
      <w:bookmarkStart w:id="130" w:name="__RefHeading___Toc21368_315254120"/>
      <w:r w:rsidR="00A31F6F" w:rsidRPr="00CF0DF4">
        <w:rPr>
          <w:lang w:val="en-US"/>
        </w:rPr>
        <w:t>DISCUSSION</w:t>
      </w:r>
      <w:bookmarkEnd w:id="129"/>
    </w:p>
    <w:p w14:paraId="7733B133" w14:textId="2625AC8C" w:rsidR="00991025" w:rsidRPr="00CF0DF4" w:rsidRDefault="002C6D0C" w:rsidP="00991025">
      <w:pPr>
        <w:pStyle w:val="Body"/>
        <w:rPr>
          <w:lang w:val="en-US"/>
        </w:rPr>
      </w:pPr>
      <w:r w:rsidRPr="00CF0DF4">
        <w:rPr>
          <w:lang w:val="en-US"/>
        </w:rPr>
        <w:t xml:space="preserve">A total of </w:t>
      </w:r>
      <w:r w:rsidR="008D73FF" w:rsidRPr="00CF0DF4">
        <w:rPr>
          <w:lang w:val="en-US"/>
        </w:rPr>
        <w:t>thirty-three</w:t>
      </w:r>
      <w:r w:rsidRPr="00CF0DF4">
        <w:rPr>
          <w:lang w:val="en-US"/>
        </w:rPr>
        <w:t xml:space="preserve"> melting layers </w:t>
      </w:r>
      <w:r w:rsidR="00E004DE" w:rsidRPr="00CF0DF4">
        <w:rPr>
          <w:lang w:val="en-US"/>
        </w:rPr>
        <w:t>profiled</w:t>
      </w:r>
      <w:r w:rsidRPr="00CF0DF4">
        <w:rPr>
          <w:lang w:val="en-US"/>
        </w:rPr>
        <w:t xml:space="preserve"> during </w:t>
      </w:r>
      <w:r w:rsidR="00D87155" w:rsidRPr="00CF0DF4">
        <w:rPr>
          <w:lang w:val="en-US"/>
        </w:rPr>
        <w:t>five recent NASA field campaigns are analyzed</w:t>
      </w:r>
      <w:r w:rsidR="0061213C" w:rsidRPr="00CF0DF4">
        <w:rPr>
          <w:lang w:val="en-US"/>
        </w:rPr>
        <w:t>.</w:t>
      </w:r>
      <w:r w:rsidR="00D067A1" w:rsidRPr="00CF0DF4">
        <w:rPr>
          <w:lang w:val="en-US"/>
        </w:rPr>
        <w:t xml:space="preserve"> </w:t>
      </w:r>
      <w:r w:rsidR="000A0C01">
        <w:rPr>
          <w:lang w:val="en-US"/>
        </w:rPr>
        <w:t>The</w:t>
      </w:r>
      <w:r w:rsidR="00DB0D3A">
        <w:rPr>
          <w:lang w:val="en-US"/>
        </w:rPr>
        <w:t xml:space="preserve"> field campaigns focused on a variety of cloud types</w:t>
      </w:r>
      <w:r w:rsidR="000A0C01">
        <w:rPr>
          <w:lang w:val="en-US"/>
        </w:rPr>
        <w:t xml:space="preserve"> and storm environments, as well as varying locations and seasons (</w:t>
      </w:r>
      <w:r w:rsidR="000A0C01">
        <w:rPr>
          <w:lang w:val="en-US"/>
        </w:rPr>
        <w:fldChar w:fldCharType="begin"/>
      </w:r>
      <w:r w:rsidR="000A0C01">
        <w:rPr>
          <w:lang w:val="en-US"/>
        </w:rPr>
        <w:instrText xml:space="preserve"> REF _Ref107691802 \h </w:instrText>
      </w:r>
      <w:r w:rsidR="000A0C01">
        <w:rPr>
          <w:lang w:val="en-US"/>
        </w:rPr>
      </w:r>
      <w:r w:rsidR="000A0C01">
        <w:rPr>
          <w:lang w:val="en-US"/>
        </w:rPr>
        <w:fldChar w:fldCharType="separate"/>
      </w:r>
      <w:r w:rsidR="00DB4BE3" w:rsidRPr="00CF0DF4">
        <w:rPr>
          <w:lang w:val="en-US"/>
        </w:rPr>
        <w:t xml:space="preserve">Table </w:t>
      </w:r>
      <w:r w:rsidR="00DB4BE3">
        <w:rPr>
          <w:noProof/>
          <w:lang w:val="en-US"/>
        </w:rPr>
        <w:t>6</w:t>
      </w:r>
      <w:r w:rsidR="000A0C01">
        <w:rPr>
          <w:lang w:val="en-US"/>
        </w:rPr>
        <w:fldChar w:fldCharType="end"/>
      </w:r>
      <w:r w:rsidR="000A0C01">
        <w:rPr>
          <w:lang w:val="en-US"/>
        </w:rPr>
        <w:t>).</w:t>
      </w:r>
      <w:r w:rsidR="00DB0D3A">
        <w:rPr>
          <w:lang w:val="en-US"/>
        </w:rPr>
        <w:t xml:space="preserve"> </w:t>
      </w:r>
      <w:r w:rsidR="00080B61" w:rsidRPr="00CF0DF4">
        <w:rPr>
          <w:lang w:val="en-US"/>
        </w:rPr>
        <w:t xml:space="preserve">During MC3E and IPHEX, deep convective storms </w:t>
      </w:r>
      <w:r w:rsidR="00A80C9B" w:rsidRPr="00CF0DF4">
        <w:rPr>
          <w:lang w:val="en-US"/>
        </w:rPr>
        <w:t xml:space="preserve">were </w:t>
      </w:r>
      <w:r w:rsidR="002033E9" w:rsidRPr="00CF0DF4">
        <w:rPr>
          <w:lang w:val="en-US"/>
        </w:rPr>
        <w:t>sampled</w:t>
      </w:r>
      <w:r w:rsidR="00A80C9B" w:rsidRPr="00CF0DF4">
        <w:rPr>
          <w:lang w:val="en-US"/>
        </w:rPr>
        <w:t xml:space="preserve"> during the springtime in the United States. </w:t>
      </w:r>
      <w:r w:rsidR="00093DEE" w:rsidRPr="00CF0DF4">
        <w:rPr>
          <w:lang w:val="en-US"/>
        </w:rPr>
        <w:t>The focus of MC3E</w:t>
      </w:r>
      <w:r w:rsidR="00157CA2" w:rsidRPr="00CF0DF4">
        <w:rPr>
          <w:lang w:val="en-US"/>
        </w:rPr>
        <w:t xml:space="preserve"> </w:t>
      </w:r>
      <w:r w:rsidR="00BF1484" w:rsidRPr="00CF0DF4">
        <w:rPr>
          <w:lang w:val="en-US"/>
        </w:rPr>
        <w:t xml:space="preserve">was </w:t>
      </w:r>
      <w:r w:rsidR="00157CA2" w:rsidRPr="00CF0DF4">
        <w:rPr>
          <w:lang w:val="en-US"/>
        </w:rPr>
        <w:t>on the Great Plains while IPHEX focused on the southeast</w:t>
      </w:r>
      <w:r w:rsidR="000B0A63" w:rsidRPr="00CF0DF4">
        <w:rPr>
          <w:lang w:val="en-US"/>
        </w:rPr>
        <w:t xml:space="preserve">ern US. Both GCPEX and IMPACTS </w:t>
      </w:r>
      <w:r w:rsidR="006A55AB" w:rsidRPr="00CF0DF4">
        <w:rPr>
          <w:lang w:val="en-US"/>
        </w:rPr>
        <w:t xml:space="preserve">sampled storms during wintertime; however, </w:t>
      </w:r>
      <w:r w:rsidR="00093DEE" w:rsidRPr="00CF0DF4">
        <w:rPr>
          <w:lang w:val="en-US"/>
        </w:rPr>
        <w:t>the focus of GCPEX was</w:t>
      </w:r>
      <w:r w:rsidR="006A55AB" w:rsidRPr="00CF0DF4">
        <w:rPr>
          <w:lang w:val="en-US"/>
        </w:rPr>
        <w:t xml:space="preserve"> on lake effect </w:t>
      </w:r>
      <w:r w:rsidR="00900E7D" w:rsidRPr="00CF0DF4">
        <w:rPr>
          <w:lang w:val="en-US"/>
        </w:rPr>
        <w:t xml:space="preserve">precipitation </w:t>
      </w:r>
      <w:r w:rsidR="006A55AB" w:rsidRPr="00CF0DF4">
        <w:rPr>
          <w:lang w:val="en-US"/>
        </w:rPr>
        <w:t xml:space="preserve">in </w:t>
      </w:r>
      <w:r w:rsidR="00093DEE" w:rsidRPr="00CF0DF4">
        <w:rPr>
          <w:lang w:val="en-US"/>
        </w:rPr>
        <w:t>southeastern Ontario</w:t>
      </w:r>
      <w:r w:rsidR="00BF1484" w:rsidRPr="00CF0DF4">
        <w:rPr>
          <w:lang w:val="en-US"/>
        </w:rPr>
        <w:t>, Canada</w:t>
      </w:r>
      <w:r w:rsidR="00093DEE" w:rsidRPr="00CF0DF4">
        <w:rPr>
          <w:lang w:val="en-US"/>
        </w:rPr>
        <w:t xml:space="preserve"> and the focus of IMPACTS was on </w:t>
      </w:r>
      <w:r w:rsidR="00C10467" w:rsidRPr="00CF0DF4">
        <w:rPr>
          <w:lang w:val="en-US"/>
        </w:rPr>
        <w:t>snow bands in the northeast US.</w:t>
      </w:r>
      <w:r w:rsidR="001B196A" w:rsidRPr="00CF0DF4">
        <w:rPr>
          <w:lang w:val="en-US"/>
        </w:rPr>
        <w:t xml:space="preserve"> </w:t>
      </w:r>
      <w:r w:rsidR="00900E7D" w:rsidRPr="00CF0DF4">
        <w:rPr>
          <w:lang w:val="en-US"/>
        </w:rPr>
        <w:t>In the stratiform clouds sampled during</w:t>
      </w:r>
      <w:r w:rsidR="001B196A" w:rsidRPr="00CF0DF4">
        <w:rPr>
          <w:lang w:val="en-US"/>
        </w:rPr>
        <w:t xml:space="preserve"> GCPEX, the maximum diameter of </w:t>
      </w:r>
      <w:r w:rsidR="00781424">
        <w:rPr>
          <w:lang w:val="en-US"/>
        </w:rPr>
        <w:t>hydrometeors</w:t>
      </w:r>
      <w:r w:rsidR="001B196A" w:rsidRPr="00CF0DF4">
        <w:rPr>
          <w:lang w:val="en-US"/>
        </w:rPr>
        <w:t xml:space="preserve"> is </w:t>
      </w:r>
      <w:r w:rsidR="00106DC0" w:rsidRPr="00CF0DF4">
        <w:rPr>
          <w:lang w:val="en-US"/>
        </w:rPr>
        <w:t xml:space="preserve">generally </w:t>
      </w:r>
      <w:r w:rsidR="001B196A" w:rsidRPr="00CF0DF4">
        <w:rPr>
          <w:lang w:val="en-US"/>
        </w:rPr>
        <w:t>smaller than</w:t>
      </w:r>
      <w:r w:rsidR="00106DC0" w:rsidRPr="00CF0DF4">
        <w:rPr>
          <w:lang w:val="en-US"/>
        </w:rPr>
        <w:t xml:space="preserve"> other field projects.</w:t>
      </w:r>
      <w:r w:rsidR="00C10467" w:rsidRPr="00CF0DF4">
        <w:rPr>
          <w:lang w:val="en-US"/>
        </w:rPr>
        <w:t xml:space="preserve"> During IMPACTS, </w:t>
      </w:r>
      <w:r w:rsidR="001B196A" w:rsidRPr="00CF0DF4">
        <w:rPr>
          <w:lang w:val="en-US"/>
        </w:rPr>
        <w:t>typically snow</w:t>
      </w:r>
      <w:r w:rsidR="008A1EAE" w:rsidRPr="00CF0DF4">
        <w:rPr>
          <w:lang w:val="en-US"/>
        </w:rPr>
        <w:t xml:space="preserve"> </w:t>
      </w:r>
      <w:r w:rsidR="001B196A" w:rsidRPr="00CF0DF4">
        <w:rPr>
          <w:lang w:val="en-US"/>
        </w:rPr>
        <w:t>bands were crossed horizontally, thus there are few vertical profiles of the melting layer.</w:t>
      </w:r>
      <w:r w:rsidR="008D2393" w:rsidRPr="00CF0DF4">
        <w:rPr>
          <w:lang w:val="en-US"/>
        </w:rPr>
        <w:t xml:space="preserve"> </w:t>
      </w:r>
      <w:r w:rsidR="00C066DE" w:rsidRPr="00CF0DF4">
        <w:rPr>
          <w:lang w:val="en-US"/>
        </w:rPr>
        <w:t xml:space="preserve">Additionally, the winter conditions during </w:t>
      </w:r>
      <w:r w:rsidR="009B7310" w:rsidRPr="00CF0DF4">
        <w:rPr>
          <w:lang w:val="en-US"/>
        </w:rPr>
        <w:t>GCPEX and IMPACTS</w:t>
      </w:r>
      <w:r w:rsidR="00C066DE" w:rsidRPr="00CF0DF4">
        <w:rPr>
          <w:lang w:val="en-US"/>
        </w:rPr>
        <w:t xml:space="preserve"> </w:t>
      </w:r>
      <w:r w:rsidR="008433A2" w:rsidRPr="00CF0DF4">
        <w:rPr>
          <w:lang w:val="en-US"/>
        </w:rPr>
        <w:t>resulted in</w:t>
      </w:r>
      <w:r w:rsidR="00C066DE" w:rsidRPr="00CF0DF4">
        <w:rPr>
          <w:lang w:val="en-US"/>
        </w:rPr>
        <w:t xml:space="preserve"> temperatures </w:t>
      </w:r>
      <w:r w:rsidR="008433A2" w:rsidRPr="00CF0DF4">
        <w:rPr>
          <w:lang w:val="en-US"/>
        </w:rPr>
        <w:t>that were typically</w:t>
      </w:r>
      <w:r w:rsidR="00C066DE" w:rsidRPr="00CF0DF4">
        <w:rPr>
          <w:lang w:val="en-US"/>
        </w:rPr>
        <w:t xml:space="preserve"> too cool </w:t>
      </w:r>
      <w:r w:rsidR="003F539A" w:rsidRPr="00CF0DF4">
        <w:rPr>
          <w:lang w:val="en-US"/>
        </w:rPr>
        <w:t>for a melting layer to be sampled</w:t>
      </w:r>
      <w:r w:rsidR="00991025">
        <w:rPr>
          <w:lang w:val="en-US"/>
        </w:rPr>
        <w:t>.</w:t>
      </w:r>
      <w:r w:rsidR="00991025" w:rsidRPr="00CF0DF4">
        <w:rPr>
          <w:lang w:val="en-US"/>
        </w:rPr>
        <w:t xml:space="preserve"> </w:t>
      </w:r>
      <w:r w:rsidR="00991025">
        <w:rPr>
          <w:lang w:val="en-US"/>
        </w:rPr>
        <w:t>M</w:t>
      </w:r>
      <w:r w:rsidR="00991025" w:rsidRPr="00CF0DF4">
        <w:rPr>
          <w:lang w:val="en-US"/>
        </w:rPr>
        <w:t xml:space="preserve">ost </w:t>
      </w:r>
      <w:r w:rsidR="00991025">
        <w:rPr>
          <w:lang w:val="en-US"/>
        </w:rPr>
        <w:t xml:space="preserve">of the melting layer </w:t>
      </w:r>
      <w:r w:rsidR="00991025" w:rsidRPr="00CF0DF4">
        <w:rPr>
          <w:lang w:val="en-US"/>
        </w:rPr>
        <w:t>cases are from OLYMPEX, which focused on precipitation around Mount Olympus located in northwestern Washington, US. OLYMPEX was conducted during late fall to assess how well satellites accurately measure both rainfall and snowfall; thus, conditions were often favorable for mixed-phase precipitation and vertical profiles of the melting l</w:t>
      </w:r>
      <w:r w:rsidR="00991025">
        <w:rPr>
          <w:lang w:val="en-US"/>
        </w:rPr>
        <w:t>ayer.</w:t>
      </w:r>
    </w:p>
    <w:p w14:paraId="1521F435" w14:textId="77F533AC" w:rsidR="00991025" w:rsidRPr="00CF0DF4" w:rsidRDefault="00991025" w:rsidP="00991025">
      <w:pPr>
        <w:pStyle w:val="Caption-Table"/>
        <w:rPr>
          <w:lang w:val="en-US"/>
        </w:rPr>
      </w:pPr>
      <w:bookmarkStart w:id="131" w:name="_Ref107691802"/>
      <w:bookmarkStart w:id="132" w:name="_Toc109123153"/>
      <w:bookmarkStart w:id="133" w:name="_Toc109123160"/>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6</w:t>
      </w:r>
      <w:r w:rsidRPr="00CF0DF4">
        <w:rPr>
          <w:lang w:val="en-US"/>
        </w:rPr>
        <w:fldChar w:fldCharType="end"/>
      </w:r>
      <w:bookmarkEnd w:id="131"/>
      <w:r w:rsidRPr="00CF0DF4">
        <w:rPr>
          <w:lang w:val="en-US"/>
        </w:rPr>
        <w:t xml:space="preserve">: </w:t>
      </w:r>
      <w:r>
        <w:rPr>
          <w:lang w:val="en-US"/>
        </w:rPr>
        <w:t xml:space="preserve">Table summarizing the cloud types and locations of recent NASA field projects analyzed for </w:t>
      </w:r>
      <w:r w:rsidR="00781424">
        <w:rPr>
          <w:lang w:val="en-US"/>
        </w:rPr>
        <w:t>hydrometeor</w:t>
      </w:r>
      <w:r>
        <w:rPr>
          <w:lang w:val="en-US"/>
        </w:rPr>
        <w:t xml:space="preserve"> changes within the melting layer. </w:t>
      </w:r>
      <w:r w:rsidRPr="00C65F3C">
        <w:rPr>
          <w:lang w:val="en-US"/>
        </w:rPr>
        <w:t>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w:t>
      </w:r>
      <w:bookmarkEnd w:id="132"/>
      <w:bookmarkEnd w:id="133"/>
    </w:p>
    <w:tbl>
      <w:tblPr>
        <w:tblpPr w:leftFromText="187" w:rightFromText="187" w:bottomFromText="346" w:vertAnchor="text" w:tblpXSpec="center" w:tblpY="1"/>
        <w:tblOverlap w:val="never"/>
        <w:tblW w:w="9356" w:type="dxa"/>
        <w:tblCellMar>
          <w:left w:w="0" w:type="dxa"/>
          <w:right w:w="0" w:type="dxa"/>
        </w:tblCellMar>
        <w:tblLook w:val="04A0" w:firstRow="1" w:lastRow="0" w:firstColumn="1" w:lastColumn="0" w:noHBand="0" w:noVBand="1"/>
      </w:tblPr>
      <w:tblGrid>
        <w:gridCol w:w="1260"/>
        <w:gridCol w:w="1800"/>
        <w:gridCol w:w="3867"/>
        <w:gridCol w:w="90"/>
        <w:gridCol w:w="19"/>
        <w:gridCol w:w="2320"/>
      </w:tblGrid>
      <w:tr w:rsidR="000D184E" w:rsidRPr="00CF0DF4" w14:paraId="7896B309" w14:textId="77777777" w:rsidTr="00B9435F">
        <w:trPr>
          <w:trHeight w:val="300"/>
        </w:trPr>
        <w:tc>
          <w:tcPr>
            <w:tcW w:w="1260" w:type="dxa"/>
            <w:tcBorders>
              <w:top w:val="nil"/>
              <w:left w:val="nil"/>
              <w:bottom w:val="single" w:sz="4" w:space="0" w:color="auto"/>
              <w:right w:val="nil"/>
            </w:tcBorders>
            <w:shd w:val="clear" w:color="000000" w:fill="FFFFFF"/>
            <w:vAlign w:val="center"/>
            <w:hideMark/>
          </w:tcPr>
          <w:p w14:paraId="52A24056" w14:textId="77777777" w:rsidR="00991025" w:rsidRPr="00CF0DF4" w:rsidRDefault="00991025" w:rsidP="00BA53A2">
            <w:pPr>
              <w:suppressAutoHyphens w:val="0"/>
              <w:autoSpaceDN/>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Project</w:t>
            </w:r>
          </w:p>
        </w:tc>
        <w:tc>
          <w:tcPr>
            <w:tcW w:w="1800" w:type="dxa"/>
            <w:tcBorders>
              <w:top w:val="nil"/>
              <w:left w:val="nil"/>
              <w:bottom w:val="single" w:sz="4" w:space="0" w:color="auto"/>
              <w:right w:val="nil"/>
            </w:tcBorders>
            <w:shd w:val="clear" w:color="000000" w:fill="FFFFFF"/>
            <w:vAlign w:val="center"/>
            <w:hideMark/>
          </w:tcPr>
          <w:p w14:paraId="358B0E17" w14:textId="74814D4E" w:rsidR="00991025" w:rsidRPr="00CF0DF4" w:rsidRDefault="006F17E2" w:rsidP="00BA53A2">
            <w:pPr>
              <w:suppressAutoHyphens w:val="0"/>
              <w:autoSpaceDN/>
              <w:jc w:val="center"/>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Season</w:t>
            </w:r>
          </w:p>
        </w:tc>
        <w:tc>
          <w:tcPr>
            <w:tcW w:w="3976" w:type="dxa"/>
            <w:gridSpan w:val="3"/>
            <w:tcBorders>
              <w:top w:val="nil"/>
              <w:left w:val="nil"/>
              <w:bottom w:val="single" w:sz="4" w:space="0" w:color="auto"/>
              <w:right w:val="nil"/>
            </w:tcBorders>
            <w:shd w:val="clear" w:color="000000" w:fill="FFFFFF"/>
            <w:vAlign w:val="center"/>
            <w:hideMark/>
          </w:tcPr>
          <w:p w14:paraId="32A862F2" w14:textId="77777777" w:rsidR="00991025" w:rsidRPr="00CF0DF4" w:rsidRDefault="00991025" w:rsidP="00BA53A2">
            <w:pPr>
              <w:suppressAutoHyphens w:val="0"/>
              <w:autoSpaceDN/>
              <w:ind w:left="-2" w:right="-62"/>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Cloud Type</w:t>
            </w:r>
          </w:p>
        </w:tc>
        <w:tc>
          <w:tcPr>
            <w:tcW w:w="2320" w:type="dxa"/>
            <w:tcBorders>
              <w:top w:val="nil"/>
              <w:left w:val="nil"/>
              <w:bottom w:val="single" w:sz="4" w:space="0" w:color="auto"/>
              <w:right w:val="nil"/>
            </w:tcBorders>
            <w:shd w:val="clear" w:color="000000" w:fill="FFFFFF"/>
            <w:vAlign w:val="center"/>
            <w:hideMark/>
          </w:tcPr>
          <w:p w14:paraId="00E8A88C" w14:textId="77777777" w:rsidR="00991025" w:rsidRPr="00CF0DF4" w:rsidRDefault="00991025" w:rsidP="00BA53A2">
            <w:pPr>
              <w:suppressAutoHyphens w:val="0"/>
              <w:autoSpaceDN/>
              <w:ind w:left="-1" w:hanging="27"/>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Location</w:t>
            </w:r>
          </w:p>
        </w:tc>
      </w:tr>
      <w:tr w:rsidR="000D184E" w:rsidRPr="00CF0DF4" w14:paraId="7D92A9F6" w14:textId="77777777" w:rsidTr="00B9435F">
        <w:trPr>
          <w:trHeight w:val="300"/>
        </w:trPr>
        <w:tc>
          <w:tcPr>
            <w:tcW w:w="1260" w:type="dxa"/>
            <w:tcBorders>
              <w:top w:val="nil"/>
              <w:left w:val="nil"/>
              <w:bottom w:val="nil"/>
              <w:right w:val="nil"/>
            </w:tcBorders>
            <w:shd w:val="clear" w:color="000000" w:fill="FFFFFF"/>
            <w:vAlign w:val="center"/>
            <w:hideMark/>
          </w:tcPr>
          <w:p w14:paraId="485F589B"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p>
        </w:tc>
        <w:tc>
          <w:tcPr>
            <w:tcW w:w="1800" w:type="dxa"/>
            <w:tcBorders>
              <w:top w:val="nil"/>
              <w:left w:val="nil"/>
              <w:bottom w:val="nil"/>
              <w:right w:val="nil"/>
            </w:tcBorders>
            <w:shd w:val="clear" w:color="000000" w:fill="FFFFFF"/>
            <w:vAlign w:val="center"/>
            <w:hideMark/>
          </w:tcPr>
          <w:p w14:paraId="0CD70CC0" w14:textId="4984E94C"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Spring</w:t>
            </w:r>
          </w:p>
        </w:tc>
        <w:tc>
          <w:tcPr>
            <w:tcW w:w="3867" w:type="dxa"/>
            <w:tcBorders>
              <w:top w:val="nil"/>
              <w:left w:val="nil"/>
              <w:bottom w:val="nil"/>
              <w:right w:val="nil"/>
            </w:tcBorders>
            <w:shd w:val="clear" w:color="000000" w:fill="FFFFFF"/>
            <w:vAlign w:val="center"/>
            <w:hideMark/>
          </w:tcPr>
          <w:p w14:paraId="3110DE71"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Deep Convective Clouds</w:t>
            </w:r>
          </w:p>
        </w:tc>
        <w:tc>
          <w:tcPr>
            <w:tcW w:w="2429" w:type="dxa"/>
            <w:gridSpan w:val="3"/>
            <w:tcBorders>
              <w:top w:val="nil"/>
              <w:left w:val="nil"/>
              <w:bottom w:val="nil"/>
              <w:right w:val="nil"/>
            </w:tcBorders>
            <w:shd w:val="clear" w:color="000000" w:fill="FFFFFF"/>
            <w:vAlign w:val="center"/>
            <w:hideMark/>
          </w:tcPr>
          <w:p w14:paraId="6F3273D5" w14:textId="77777777" w:rsidR="00991025" w:rsidRPr="00CF0DF4" w:rsidRDefault="00991025" w:rsidP="00BA53A2">
            <w:pPr>
              <w:suppressAutoHyphens w:val="0"/>
              <w:autoSpaceDN/>
              <w:ind w:left="-1" w:firstLine="90"/>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Oklahoma, US</w:t>
            </w:r>
          </w:p>
        </w:tc>
      </w:tr>
      <w:tr w:rsidR="000D184E" w:rsidRPr="00CF0DF4" w14:paraId="7B3960CC" w14:textId="77777777" w:rsidTr="00B9435F">
        <w:trPr>
          <w:trHeight w:val="300"/>
        </w:trPr>
        <w:tc>
          <w:tcPr>
            <w:tcW w:w="1260" w:type="dxa"/>
            <w:tcBorders>
              <w:top w:val="nil"/>
              <w:left w:val="nil"/>
              <w:bottom w:val="nil"/>
              <w:right w:val="nil"/>
            </w:tcBorders>
            <w:shd w:val="clear" w:color="000000" w:fill="FFFFFF"/>
            <w:vAlign w:val="center"/>
            <w:hideMark/>
          </w:tcPr>
          <w:p w14:paraId="7E8F3EAB"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w:t>
            </w:r>
          </w:p>
        </w:tc>
        <w:tc>
          <w:tcPr>
            <w:tcW w:w="1800" w:type="dxa"/>
            <w:tcBorders>
              <w:top w:val="nil"/>
              <w:left w:val="nil"/>
              <w:bottom w:val="nil"/>
              <w:right w:val="nil"/>
            </w:tcBorders>
            <w:shd w:val="clear" w:color="000000" w:fill="FFFFFF"/>
            <w:vAlign w:val="center"/>
            <w:hideMark/>
          </w:tcPr>
          <w:p w14:paraId="58643382" w14:textId="02F11419"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Winter</w:t>
            </w:r>
          </w:p>
        </w:tc>
        <w:tc>
          <w:tcPr>
            <w:tcW w:w="3957" w:type="dxa"/>
            <w:gridSpan w:val="2"/>
            <w:tcBorders>
              <w:top w:val="nil"/>
              <w:left w:val="nil"/>
              <w:bottom w:val="nil"/>
              <w:right w:val="nil"/>
            </w:tcBorders>
            <w:shd w:val="clear" w:color="000000" w:fill="FFFFFF"/>
            <w:vAlign w:val="center"/>
            <w:hideMark/>
          </w:tcPr>
          <w:p w14:paraId="1718F924"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Stratiform Precipitation, Lake Effect</w:t>
            </w:r>
          </w:p>
        </w:tc>
        <w:tc>
          <w:tcPr>
            <w:tcW w:w="2339" w:type="dxa"/>
            <w:gridSpan w:val="2"/>
            <w:tcBorders>
              <w:top w:val="nil"/>
              <w:left w:val="nil"/>
              <w:bottom w:val="nil"/>
              <w:right w:val="nil"/>
            </w:tcBorders>
            <w:shd w:val="clear" w:color="000000" w:fill="FFFFFF"/>
            <w:vAlign w:val="center"/>
            <w:hideMark/>
          </w:tcPr>
          <w:p w14:paraId="341A97AC"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Georgian Bay, Canada</w:t>
            </w:r>
          </w:p>
        </w:tc>
      </w:tr>
      <w:tr w:rsidR="000D184E" w:rsidRPr="00CF0DF4" w14:paraId="70258FF6" w14:textId="77777777" w:rsidTr="00B9435F">
        <w:trPr>
          <w:trHeight w:val="300"/>
        </w:trPr>
        <w:tc>
          <w:tcPr>
            <w:tcW w:w="1260" w:type="dxa"/>
            <w:tcBorders>
              <w:top w:val="nil"/>
              <w:left w:val="nil"/>
              <w:bottom w:val="nil"/>
              <w:right w:val="nil"/>
            </w:tcBorders>
            <w:shd w:val="clear" w:color="000000" w:fill="FFFFFF"/>
            <w:vAlign w:val="center"/>
            <w:hideMark/>
          </w:tcPr>
          <w:p w14:paraId="63435E9B"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IPHEX</w:t>
            </w:r>
          </w:p>
        </w:tc>
        <w:tc>
          <w:tcPr>
            <w:tcW w:w="1800" w:type="dxa"/>
            <w:tcBorders>
              <w:top w:val="nil"/>
              <w:left w:val="nil"/>
              <w:bottom w:val="nil"/>
              <w:right w:val="nil"/>
            </w:tcBorders>
            <w:shd w:val="clear" w:color="000000" w:fill="FFFFFF"/>
            <w:vAlign w:val="center"/>
            <w:hideMark/>
          </w:tcPr>
          <w:p w14:paraId="2A913AC0" w14:textId="18D3A2C7"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Spring</w:t>
            </w:r>
          </w:p>
        </w:tc>
        <w:tc>
          <w:tcPr>
            <w:tcW w:w="3957" w:type="dxa"/>
            <w:gridSpan w:val="2"/>
            <w:tcBorders>
              <w:top w:val="nil"/>
              <w:left w:val="nil"/>
              <w:bottom w:val="nil"/>
              <w:right w:val="nil"/>
            </w:tcBorders>
            <w:shd w:val="clear" w:color="000000" w:fill="FFFFFF"/>
            <w:vAlign w:val="center"/>
            <w:hideMark/>
          </w:tcPr>
          <w:p w14:paraId="20879472"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Deep Convective Clouds</w:t>
            </w:r>
          </w:p>
        </w:tc>
        <w:tc>
          <w:tcPr>
            <w:tcW w:w="2339" w:type="dxa"/>
            <w:gridSpan w:val="2"/>
            <w:tcBorders>
              <w:top w:val="nil"/>
              <w:left w:val="nil"/>
              <w:bottom w:val="nil"/>
              <w:right w:val="nil"/>
            </w:tcBorders>
            <w:shd w:val="clear" w:color="000000" w:fill="FFFFFF"/>
            <w:vAlign w:val="center"/>
            <w:hideMark/>
          </w:tcPr>
          <w:p w14:paraId="0C5691D7"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Southeast US</w:t>
            </w:r>
          </w:p>
        </w:tc>
      </w:tr>
      <w:tr w:rsidR="000D184E" w:rsidRPr="00CF0DF4" w14:paraId="42204ECD" w14:textId="77777777" w:rsidTr="00B9435F">
        <w:trPr>
          <w:trHeight w:val="300"/>
        </w:trPr>
        <w:tc>
          <w:tcPr>
            <w:tcW w:w="1260" w:type="dxa"/>
            <w:tcBorders>
              <w:top w:val="nil"/>
              <w:left w:val="nil"/>
              <w:bottom w:val="nil"/>
              <w:right w:val="nil"/>
            </w:tcBorders>
            <w:shd w:val="clear" w:color="000000" w:fill="FFFFFF"/>
            <w:vAlign w:val="center"/>
            <w:hideMark/>
          </w:tcPr>
          <w:p w14:paraId="6C10CCAC"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lastRenderedPageBreak/>
              <w:t>OLYMPEX</w:t>
            </w:r>
          </w:p>
        </w:tc>
        <w:tc>
          <w:tcPr>
            <w:tcW w:w="1800" w:type="dxa"/>
            <w:tcBorders>
              <w:top w:val="nil"/>
              <w:left w:val="nil"/>
              <w:bottom w:val="nil"/>
              <w:right w:val="nil"/>
            </w:tcBorders>
            <w:shd w:val="clear" w:color="000000" w:fill="FFFFFF"/>
            <w:vAlign w:val="center"/>
            <w:hideMark/>
          </w:tcPr>
          <w:p w14:paraId="5B88C982" w14:textId="5F076335"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Fall</w:t>
            </w:r>
          </w:p>
        </w:tc>
        <w:tc>
          <w:tcPr>
            <w:tcW w:w="3957" w:type="dxa"/>
            <w:gridSpan w:val="2"/>
            <w:tcBorders>
              <w:top w:val="nil"/>
              <w:left w:val="nil"/>
              <w:bottom w:val="nil"/>
              <w:right w:val="nil"/>
            </w:tcBorders>
            <w:shd w:val="clear" w:color="000000" w:fill="FFFFFF"/>
            <w:vAlign w:val="center"/>
            <w:hideMark/>
          </w:tcPr>
          <w:p w14:paraId="29A77724"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Deep Cloud Layers</w:t>
            </w:r>
          </w:p>
        </w:tc>
        <w:tc>
          <w:tcPr>
            <w:tcW w:w="2339" w:type="dxa"/>
            <w:gridSpan w:val="2"/>
            <w:tcBorders>
              <w:top w:val="nil"/>
              <w:left w:val="nil"/>
              <w:bottom w:val="nil"/>
              <w:right w:val="nil"/>
            </w:tcBorders>
            <w:shd w:val="clear" w:color="000000" w:fill="FFFFFF"/>
            <w:vAlign w:val="center"/>
            <w:hideMark/>
          </w:tcPr>
          <w:p w14:paraId="18925DAC"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Washington State, US</w:t>
            </w:r>
          </w:p>
        </w:tc>
      </w:tr>
      <w:tr w:rsidR="000D184E" w:rsidRPr="00CF0DF4" w14:paraId="5CFE4FDB" w14:textId="77777777" w:rsidTr="00B9435F">
        <w:trPr>
          <w:trHeight w:val="300"/>
        </w:trPr>
        <w:tc>
          <w:tcPr>
            <w:tcW w:w="1260" w:type="dxa"/>
            <w:tcBorders>
              <w:top w:val="nil"/>
              <w:left w:val="nil"/>
              <w:bottom w:val="single" w:sz="8" w:space="0" w:color="auto"/>
              <w:right w:val="nil"/>
            </w:tcBorders>
            <w:shd w:val="clear" w:color="000000" w:fill="FFFFFF"/>
            <w:vAlign w:val="center"/>
            <w:hideMark/>
          </w:tcPr>
          <w:p w14:paraId="6C7BD49A"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IMPACTS</w:t>
            </w:r>
          </w:p>
        </w:tc>
        <w:tc>
          <w:tcPr>
            <w:tcW w:w="1800" w:type="dxa"/>
            <w:tcBorders>
              <w:top w:val="nil"/>
              <w:left w:val="nil"/>
              <w:bottom w:val="single" w:sz="8" w:space="0" w:color="auto"/>
              <w:right w:val="nil"/>
            </w:tcBorders>
            <w:shd w:val="clear" w:color="000000" w:fill="FFFFFF"/>
            <w:vAlign w:val="center"/>
            <w:hideMark/>
          </w:tcPr>
          <w:p w14:paraId="659818BF" w14:textId="105FC89C" w:rsidR="00991025" w:rsidRPr="00CF0DF4" w:rsidRDefault="007B5D3C"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Winter</w:t>
            </w:r>
          </w:p>
        </w:tc>
        <w:tc>
          <w:tcPr>
            <w:tcW w:w="3957" w:type="dxa"/>
            <w:gridSpan w:val="2"/>
            <w:tcBorders>
              <w:top w:val="nil"/>
              <w:left w:val="nil"/>
              <w:bottom w:val="single" w:sz="8" w:space="0" w:color="auto"/>
              <w:right w:val="nil"/>
            </w:tcBorders>
            <w:shd w:val="clear" w:color="000000" w:fill="FFFFFF"/>
            <w:vAlign w:val="center"/>
            <w:hideMark/>
          </w:tcPr>
          <w:p w14:paraId="16FA3A85" w14:textId="7E0ED02D"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Snow Bands</w:t>
            </w:r>
          </w:p>
        </w:tc>
        <w:tc>
          <w:tcPr>
            <w:tcW w:w="2339" w:type="dxa"/>
            <w:gridSpan w:val="2"/>
            <w:tcBorders>
              <w:top w:val="nil"/>
              <w:left w:val="nil"/>
              <w:bottom w:val="single" w:sz="8" w:space="0" w:color="auto"/>
              <w:right w:val="nil"/>
            </w:tcBorders>
            <w:shd w:val="clear" w:color="000000" w:fill="FFFFFF"/>
            <w:vAlign w:val="center"/>
            <w:hideMark/>
          </w:tcPr>
          <w:p w14:paraId="18A3BFB5" w14:textId="120D2924"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Northeast US</w:t>
            </w:r>
          </w:p>
        </w:tc>
      </w:tr>
    </w:tbl>
    <w:p w14:paraId="795AFED3" w14:textId="6D32028A" w:rsidR="00BB27B2" w:rsidRPr="00CF0DF4" w:rsidRDefault="00BB27B2" w:rsidP="00BB27B2">
      <w:pPr>
        <w:pStyle w:val="Caption-Table"/>
        <w:rPr>
          <w:lang w:val="en-US"/>
        </w:rPr>
      </w:pPr>
      <w:bookmarkStart w:id="134" w:name="_Ref107465472"/>
      <w:bookmarkStart w:id="135" w:name="_Ref107465458"/>
      <w:bookmarkStart w:id="136" w:name="_Toc109123154"/>
      <w:bookmarkStart w:id="137" w:name="_Toc109123161"/>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7</w:t>
      </w:r>
      <w:r w:rsidRPr="00CF0DF4">
        <w:rPr>
          <w:lang w:val="en-US"/>
        </w:rPr>
        <w:fldChar w:fldCharType="end"/>
      </w:r>
      <w:bookmarkEnd w:id="134"/>
      <w:r w:rsidRPr="00CF0DF4">
        <w:rPr>
          <w:lang w:val="en-US"/>
        </w:rPr>
        <w:t xml:space="preserve">: </w:t>
      </w:r>
      <w:bookmarkEnd w:id="135"/>
      <w:r w:rsidR="00CF3817" w:rsidRPr="00CF0DF4">
        <w:rPr>
          <w:lang w:val="en-US"/>
        </w:rPr>
        <w:t xml:space="preserve">Table summarizing the changes in </w:t>
      </w:r>
      <w:r w:rsidR="00781424">
        <w:rPr>
          <w:lang w:val="en-US"/>
        </w:rPr>
        <w:t>hydrometeor</w:t>
      </w:r>
      <w:r w:rsidR="00CF3817" w:rsidRPr="00CF0DF4">
        <w:rPr>
          <w:lang w:val="en-US"/>
        </w:rPr>
        <w:t xml:space="preserve"> concentration (conc), area ratio, maximum diameter (max D), and the </w:t>
      </w:r>
      <w:r w:rsidR="00CF3817" w:rsidRPr="00CF0DF4">
        <w:rPr>
          <w:rFonts w:ascii="Times New Roman" w:hAnsi="Times New Roman" w:cs="Times New Roman"/>
          <w:lang w:val="en-US"/>
        </w:rPr>
        <w:t>slope (</w:t>
      </w:r>
      <w:r w:rsidR="00CF3817" w:rsidRPr="00CF0DF4">
        <w:rPr>
          <w:rFonts w:ascii="Times New Roman" w:eastAsia="Times New Roman" w:hAnsi="Times New Roman" w:cs="Times New Roman"/>
          <w:kern w:val="0"/>
          <w:lang w:val="en-US" w:eastAsia="en-US" w:bidi="ar-SA"/>
        </w:rPr>
        <w:t>λ)</w:t>
      </w:r>
      <w:r w:rsidR="00CF3817" w:rsidRPr="00CF0DF4">
        <w:rPr>
          <w:rFonts w:ascii="Times New Roman" w:hAnsi="Times New Roman" w:cs="Times New Roman"/>
          <w:lang w:val="en-US"/>
        </w:rPr>
        <w:t xml:space="preserve"> and intercept parameter (N</w:t>
      </w:r>
      <w:r w:rsidR="00CF3817" w:rsidRPr="00CF0DF4">
        <w:rPr>
          <w:rFonts w:ascii="Times New Roman" w:hAnsi="Times New Roman" w:cs="Times New Roman"/>
          <w:vertAlign w:val="subscript"/>
          <w:lang w:val="en-US"/>
        </w:rPr>
        <w:t>0</w:t>
      </w:r>
      <w:r w:rsidR="00CF3817" w:rsidRPr="00CF0DF4">
        <w:rPr>
          <w:rFonts w:ascii="Times New Roman" w:hAnsi="Times New Roman" w:cs="Times New Roman"/>
          <w:lang w:val="en-US"/>
        </w:rPr>
        <w:t xml:space="preserve">) from the exponential fit to the size distribution throughout the melting layer. Small </w:t>
      </w:r>
      <w:r w:rsidR="00781424">
        <w:rPr>
          <w:rFonts w:ascii="Times New Roman" w:hAnsi="Times New Roman" w:cs="Times New Roman"/>
          <w:lang w:val="en-US"/>
        </w:rPr>
        <w:t>hydrometeors</w:t>
      </w:r>
      <w:r w:rsidR="00CF3817" w:rsidRPr="00CF0DF4">
        <w:rPr>
          <w:rFonts w:ascii="Times New Roman" w:hAnsi="Times New Roman" w:cs="Times New Roman"/>
          <w:lang w:val="en-US"/>
        </w:rPr>
        <w:t xml:space="preserve"> are 1,000 µm and less, whereas large </w:t>
      </w:r>
      <w:r w:rsidR="00781424">
        <w:rPr>
          <w:rFonts w:ascii="Times New Roman" w:hAnsi="Times New Roman" w:cs="Times New Roman"/>
          <w:lang w:val="en-US"/>
        </w:rPr>
        <w:t>hydrometeors</w:t>
      </w:r>
      <w:r w:rsidR="00CF3817" w:rsidRPr="00CF0DF4">
        <w:rPr>
          <w:rFonts w:ascii="Times New Roman" w:hAnsi="Times New Roman" w:cs="Times New Roman"/>
          <w:lang w:val="en-US"/>
        </w:rPr>
        <w:t xml:space="preserve"> have a greater diameter. The first (blue) indicators are for the transition from above to inside the melting layer. The second (red) indica</w:t>
      </w:r>
      <w:r w:rsidR="00C03B93" w:rsidRPr="00CF0DF4">
        <w:rPr>
          <w:rFonts w:ascii="Times New Roman" w:hAnsi="Times New Roman" w:cs="Times New Roman"/>
          <w:lang w:val="en-US"/>
        </w:rPr>
        <w:t>tors</w:t>
      </w:r>
      <w:r w:rsidR="00CF3817" w:rsidRPr="00CF0DF4">
        <w:rPr>
          <w:rFonts w:ascii="Times New Roman" w:hAnsi="Times New Roman" w:cs="Times New Roman"/>
          <w:lang w:val="en-US"/>
        </w:rPr>
        <w:t xml:space="preserve"> are for the transition from</w:t>
      </w:r>
      <w:r w:rsidR="00CF3817" w:rsidRPr="00CF0DF4">
        <w:rPr>
          <w:lang w:val="en-US"/>
        </w:rPr>
        <w:t xml:space="preserve"> the melting layer to below. An up arrow is an increase, a down arrow is a decrease, an equal sign is no change, and a dash is no measurements. Having the first and second indicators the same denotes no change throughout the entire melting layer depth (i.e., no steady state is </w:t>
      </w:r>
      <w:proofErr w:type="gramStart"/>
      <w:r w:rsidR="00CF3817" w:rsidRPr="00CF0DF4">
        <w:rPr>
          <w:lang w:val="en-US"/>
        </w:rPr>
        <w:t>reached</w:t>
      </w:r>
      <w:proofErr w:type="gramEnd"/>
      <w:r w:rsidR="00CF3817" w:rsidRPr="00CF0DF4">
        <w:rPr>
          <w:lang w:val="en-US"/>
        </w:rPr>
        <w:t xml:space="preserve"> and no transition occurs). Case groups are alternatively shaded based on the relative humidity range.</w:t>
      </w:r>
      <w:bookmarkEnd w:id="136"/>
      <w:bookmarkEnd w:id="137"/>
    </w:p>
    <w:tbl>
      <w:tblPr>
        <w:tblpPr w:bottomFromText="346" w:vertAnchor="text" w:tblpXSpec="center" w:tblpY="1"/>
        <w:tblOverlap w:val="never"/>
        <w:tblW w:w="9216" w:type="dxa"/>
        <w:tblLayout w:type="fixed"/>
        <w:tblCellMar>
          <w:left w:w="0" w:type="dxa"/>
          <w:right w:w="0" w:type="dxa"/>
        </w:tblCellMar>
        <w:tblLook w:val="04A0" w:firstRow="1" w:lastRow="0" w:firstColumn="1" w:lastColumn="0" w:noHBand="0" w:noVBand="1"/>
      </w:tblPr>
      <w:tblGrid>
        <w:gridCol w:w="3168"/>
        <w:gridCol w:w="432"/>
        <w:gridCol w:w="432"/>
        <w:gridCol w:w="432"/>
        <w:gridCol w:w="432"/>
        <w:gridCol w:w="432"/>
        <w:gridCol w:w="432"/>
        <w:gridCol w:w="432"/>
        <w:gridCol w:w="432"/>
        <w:gridCol w:w="432"/>
        <w:gridCol w:w="432"/>
        <w:gridCol w:w="432"/>
        <w:gridCol w:w="432"/>
        <w:gridCol w:w="432"/>
        <w:gridCol w:w="432"/>
      </w:tblGrid>
      <w:tr w:rsidR="00BD1967" w:rsidRPr="00CF0DF4" w14:paraId="1B00F3FF" w14:textId="77777777" w:rsidTr="00E6203F">
        <w:trPr>
          <w:trHeight w:val="313"/>
        </w:trPr>
        <w:tc>
          <w:tcPr>
            <w:tcW w:w="3168" w:type="dxa"/>
            <w:tcBorders>
              <w:top w:val="single" w:sz="12" w:space="0" w:color="auto"/>
              <w:left w:val="nil"/>
              <w:bottom w:val="nil"/>
              <w:right w:val="nil"/>
            </w:tcBorders>
            <w:shd w:val="clear" w:color="000000" w:fill="FFFFFF"/>
            <w:noWrap/>
            <w:vAlign w:val="center"/>
            <w:hideMark/>
          </w:tcPr>
          <w:p w14:paraId="32EED798" w14:textId="77777777" w:rsidR="00BB27B2" w:rsidRPr="00CF0DF4" w:rsidRDefault="00BB27B2" w:rsidP="00BA53A2">
            <w:pPr>
              <w:suppressAutoHyphens w:val="0"/>
              <w:autoSpaceDN/>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Case</w:t>
            </w:r>
          </w:p>
        </w:tc>
        <w:tc>
          <w:tcPr>
            <w:tcW w:w="1728" w:type="dxa"/>
            <w:gridSpan w:val="4"/>
            <w:tcBorders>
              <w:top w:val="single" w:sz="12" w:space="0" w:color="auto"/>
              <w:left w:val="dotted" w:sz="4" w:space="0" w:color="auto"/>
              <w:bottom w:val="nil"/>
              <w:right w:val="dotted" w:sz="4" w:space="0" w:color="000000"/>
            </w:tcBorders>
            <w:shd w:val="clear" w:color="000000" w:fill="FFFFFF"/>
            <w:noWrap/>
            <w:vAlign w:val="center"/>
            <w:hideMark/>
          </w:tcPr>
          <w:p w14:paraId="0FD1AE46"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Conc</w:t>
            </w:r>
          </w:p>
        </w:tc>
        <w:tc>
          <w:tcPr>
            <w:tcW w:w="1728" w:type="dxa"/>
            <w:gridSpan w:val="4"/>
            <w:tcBorders>
              <w:top w:val="single" w:sz="12" w:space="0" w:color="auto"/>
              <w:left w:val="nil"/>
              <w:bottom w:val="nil"/>
              <w:right w:val="nil"/>
            </w:tcBorders>
            <w:shd w:val="clear" w:color="000000" w:fill="FFFFFF"/>
            <w:noWrap/>
            <w:vAlign w:val="center"/>
            <w:hideMark/>
          </w:tcPr>
          <w:p w14:paraId="7A1774EA"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Area Ratio</w:t>
            </w:r>
          </w:p>
        </w:tc>
        <w:tc>
          <w:tcPr>
            <w:tcW w:w="864" w:type="dxa"/>
            <w:gridSpan w:val="2"/>
            <w:tcBorders>
              <w:top w:val="single" w:sz="12" w:space="0" w:color="auto"/>
              <w:left w:val="dotted" w:sz="4" w:space="0" w:color="auto"/>
              <w:bottom w:val="nil"/>
              <w:right w:val="dotted" w:sz="4" w:space="0" w:color="000000"/>
            </w:tcBorders>
            <w:shd w:val="clear" w:color="000000" w:fill="FFFFFF"/>
            <w:noWrap/>
            <w:vAlign w:val="center"/>
            <w:hideMark/>
          </w:tcPr>
          <w:p w14:paraId="70ED2BC4"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Max D</w:t>
            </w:r>
          </w:p>
        </w:tc>
        <w:tc>
          <w:tcPr>
            <w:tcW w:w="1728" w:type="dxa"/>
            <w:gridSpan w:val="4"/>
            <w:tcBorders>
              <w:top w:val="single" w:sz="12" w:space="0" w:color="auto"/>
              <w:left w:val="nil"/>
              <w:bottom w:val="nil"/>
              <w:right w:val="nil"/>
            </w:tcBorders>
            <w:shd w:val="clear" w:color="000000" w:fill="FFFFFF"/>
            <w:noWrap/>
            <w:vAlign w:val="center"/>
            <w:hideMark/>
          </w:tcPr>
          <w:p w14:paraId="55B4FAA8"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Fit</w:t>
            </w:r>
          </w:p>
        </w:tc>
      </w:tr>
      <w:tr w:rsidR="006C613E" w:rsidRPr="00CF0DF4" w14:paraId="32F0C5AA" w14:textId="77777777" w:rsidTr="00E6203F">
        <w:trPr>
          <w:trHeight w:val="20"/>
        </w:trPr>
        <w:tc>
          <w:tcPr>
            <w:tcW w:w="3168" w:type="dxa"/>
            <w:tcBorders>
              <w:top w:val="nil"/>
              <w:left w:val="nil"/>
              <w:bottom w:val="single" w:sz="4" w:space="0" w:color="auto"/>
              <w:right w:val="nil"/>
            </w:tcBorders>
            <w:shd w:val="clear" w:color="000000" w:fill="FFFFFF"/>
            <w:noWrap/>
            <w:vAlign w:val="center"/>
            <w:hideMark/>
          </w:tcPr>
          <w:p w14:paraId="0E9D45DF" w14:textId="77777777" w:rsidR="00BB27B2" w:rsidRPr="00CF0DF4" w:rsidRDefault="00BB27B2" w:rsidP="00BA53A2">
            <w:pPr>
              <w:suppressAutoHyphens w:val="0"/>
              <w:autoSpaceDN/>
              <w:textAlignment w:val="auto"/>
              <w:rPr>
                <w:rFonts w:ascii="Times New Roman" w:eastAsia="Times New Roman" w:hAnsi="Times New Roman" w:cs="Times New Roman"/>
                <w:i/>
                <w:iCs/>
                <w:kern w:val="0"/>
                <w:lang w:eastAsia="en-US" w:bidi="ar-SA"/>
              </w:rPr>
            </w:pPr>
            <w:r w:rsidRPr="00CF0DF4">
              <w:rPr>
                <w:rFonts w:ascii="Times New Roman" w:eastAsia="Times New Roman" w:hAnsi="Times New Roman" w:cs="Times New Roman"/>
                <w:i/>
                <w:iCs/>
                <w:kern w:val="0"/>
                <w:lang w:eastAsia="en-US" w:bidi="ar-SA"/>
              </w:rPr>
              <w:t> </w:t>
            </w:r>
          </w:p>
        </w:tc>
        <w:tc>
          <w:tcPr>
            <w:tcW w:w="864" w:type="dxa"/>
            <w:gridSpan w:val="2"/>
            <w:tcBorders>
              <w:top w:val="nil"/>
              <w:left w:val="dotted" w:sz="4" w:space="0" w:color="auto"/>
              <w:bottom w:val="single" w:sz="4" w:space="0" w:color="auto"/>
              <w:right w:val="nil"/>
            </w:tcBorders>
            <w:shd w:val="clear" w:color="000000" w:fill="FFFFFF"/>
            <w:noWrap/>
            <w:vAlign w:val="center"/>
            <w:hideMark/>
          </w:tcPr>
          <w:p w14:paraId="428E3362"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Small</w:t>
            </w:r>
          </w:p>
        </w:tc>
        <w:tc>
          <w:tcPr>
            <w:tcW w:w="864" w:type="dxa"/>
            <w:gridSpan w:val="2"/>
            <w:tcBorders>
              <w:top w:val="nil"/>
              <w:left w:val="nil"/>
              <w:bottom w:val="single" w:sz="4" w:space="0" w:color="auto"/>
              <w:right w:val="dotted" w:sz="4" w:space="0" w:color="000000"/>
            </w:tcBorders>
            <w:shd w:val="clear" w:color="000000" w:fill="FFFFFF"/>
            <w:noWrap/>
            <w:vAlign w:val="center"/>
            <w:hideMark/>
          </w:tcPr>
          <w:p w14:paraId="6456195B"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Large</w:t>
            </w:r>
          </w:p>
        </w:tc>
        <w:tc>
          <w:tcPr>
            <w:tcW w:w="864" w:type="dxa"/>
            <w:gridSpan w:val="2"/>
            <w:tcBorders>
              <w:top w:val="nil"/>
              <w:left w:val="nil"/>
              <w:bottom w:val="single" w:sz="4" w:space="0" w:color="auto"/>
              <w:right w:val="nil"/>
            </w:tcBorders>
            <w:shd w:val="clear" w:color="000000" w:fill="FFFFFF"/>
            <w:noWrap/>
            <w:vAlign w:val="center"/>
            <w:hideMark/>
          </w:tcPr>
          <w:p w14:paraId="5617A155"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Small</w:t>
            </w:r>
          </w:p>
        </w:tc>
        <w:tc>
          <w:tcPr>
            <w:tcW w:w="864" w:type="dxa"/>
            <w:gridSpan w:val="2"/>
            <w:tcBorders>
              <w:top w:val="nil"/>
              <w:left w:val="nil"/>
              <w:bottom w:val="single" w:sz="4" w:space="0" w:color="auto"/>
              <w:right w:val="nil"/>
            </w:tcBorders>
            <w:shd w:val="clear" w:color="000000" w:fill="FFFFFF"/>
            <w:noWrap/>
            <w:vAlign w:val="center"/>
            <w:hideMark/>
          </w:tcPr>
          <w:p w14:paraId="63951B95"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Large</w:t>
            </w:r>
          </w:p>
        </w:tc>
        <w:tc>
          <w:tcPr>
            <w:tcW w:w="864" w:type="dxa"/>
            <w:gridSpan w:val="2"/>
            <w:tcBorders>
              <w:top w:val="nil"/>
              <w:left w:val="dotted" w:sz="4" w:space="0" w:color="auto"/>
              <w:bottom w:val="single" w:sz="4" w:space="0" w:color="auto"/>
              <w:right w:val="dotted" w:sz="4" w:space="0" w:color="000000"/>
            </w:tcBorders>
            <w:shd w:val="clear" w:color="000000" w:fill="FFFFFF"/>
            <w:noWrap/>
            <w:vAlign w:val="center"/>
            <w:hideMark/>
          </w:tcPr>
          <w:p w14:paraId="6A501DEF" w14:textId="77777777" w:rsidR="00BB27B2" w:rsidRPr="001132EE" w:rsidRDefault="00BB27B2" w:rsidP="00BA53A2">
            <w:pPr>
              <w:suppressAutoHyphens w:val="0"/>
              <w:autoSpaceDN/>
              <w:jc w:val="center"/>
              <w:textAlignment w:val="auto"/>
              <w:rPr>
                <w:rFonts w:ascii="Times New Roman" w:eastAsia="Times New Roman" w:hAnsi="Times New Roman" w:cs="Times New Roman"/>
                <w:kern w:val="0"/>
                <w:u w:val="single"/>
                <w:lang w:eastAsia="en-US" w:bidi="ar-SA"/>
              </w:rPr>
            </w:pPr>
            <w:r w:rsidRPr="001132EE">
              <w:rPr>
                <w:rFonts w:ascii="Times New Roman" w:eastAsia="Times New Roman" w:hAnsi="Times New Roman" w:cs="Times New Roman"/>
                <w:kern w:val="0"/>
                <w:u w:val="single"/>
                <w:lang w:eastAsia="en-US" w:bidi="ar-SA"/>
              </w:rPr>
              <w:t>All</w:t>
            </w:r>
          </w:p>
        </w:tc>
        <w:tc>
          <w:tcPr>
            <w:tcW w:w="864" w:type="dxa"/>
            <w:gridSpan w:val="2"/>
            <w:tcBorders>
              <w:top w:val="nil"/>
              <w:left w:val="nil"/>
              <w:bottom w:val="single" w:sz="4" w:space="0" w:color="auto"/>
              <w:right w:val="nil"/>
            </w:tcBorders>
            <w:shd w:val="clear" w:color="000000" w:fill="FFFFFF"/>
            <w:noWrap/>
            <w:vAlign w:val="center"/>
            <w:hideMark/>
          </w:tcPr>
          <w:p w14:paraId="1E994EDD" w14:textId="77777777" w:rsidR="00BB27B2" w:rsidRPr="001132EE" w:rsidRDefault="00BB27B2" w:rsidP="00BA53A2">
            <w:pPr>
              <w:suppressAutoHyphens w:val="0"/>
              <w:autoSpaceDN/>
              <w:jc w:val="center"/>
              <w:textAlignment w:val="auto"/>
              <w:rPr>
                <w:rFonts w:ascii="Times New Roman" w:eastAsia="Times New Roman" w:hAnsi="Times New Roman" w:cs="Times New Roman"/>
                <w:kern w:val="0"/>
                <w:u w:val="single"/>
                <w:lang w:eastAsia="en-US" w:bidi="ar-SA"/>
              </w:rPr>
            </w:pPr>
            <w:r w:rsidRPr="001132EE">
              <w:rPr>
                <w:rFonts w:ascii="Times New Roman" w:eastAsia="Times New Roman" w:hAnsi="Times New Roman" w:cs="Times New Roman"/>
                <w:kern w:val="0"/>
                <w:u w:val="single"/>
                <w:lang w:eastAsia="en-US" w:bidi="ar-SA"/>
              </w:rPr>
              <w:t>N</w:t>
            </w:r>
            <w:r w:rsidRPr="001132EE">
              <w:rPr>
                <w:rFonts w:ascii="Times New Roman" w:eastAsia="Times New Roman" w:hAnsi="Times New Roman" w:cs="Times New Roman"/>
                <w:kern w:val="0"/>
                <w:u w:val="single"/>
                <w:vertAlign w:val="subscript"/>
                <w:lang w:eastAsia="en-US" w:bidi="ar-SA"/>
              </w:rPr>
              <w:t>0</w:t>
            </w:r>
          </w:p>
        </w:tc>
        <w:tc>
          <w:tcPr>
            <w:tcW w:w="864" w:type="dxa"/>
            <w:gridSpan w:val="2"/>
            <w:tcBorders>
              <w:top w:val="nil"/>
              <w:left w:val="nil"/>
              <w:bottom w:val="single" w:sz="4" w:space="0" w:color="auto"/>
              <w:right w:val="nil"/>
            </w:tcBorders>
            <w:shd w:val="clear" w:color="000000" w:fill="FFFFFF"/>
            <w:noWrap/>
            <w:vAlign w:val="center"/>
            <w:hideMark/>
          </w:tcPr>
          <w:p w14:paraId="7A73437B" w14:textId="77777777" w:rsidR="00BB27B2" w:rsidRPr="001132EE" w:rsidRDefault="00BB27B2" w:rsidP="00BA53A2">
            <w:pPr>
              <w:suppressAutoHyphens w:val="0"/>
              <w:autoSpaceDN/>
              <w:jc w:val="center"/>
              <w:textAlignment w:val="auto"/>
              <w:rPr>
                <w:rFonts w:ascii="Times New Roman" w:eastAsia="Times New Roman" w:hAnsi="Times New Roman" w:cs="Times New Roman"/>
                <w:kern w:val="0"/>
                <w:u w:val="single"/>
                <w:lang w:eastAsia="en-US" w:bidi="ar-SA"/>
              </w:rPr>
            </w:pPr>
            <w:r w:rsidRPr="001132EE">
              <w:rPr>
                <w:rFonts w:ascii="Times New Roman" w:eastAsia="Times New Roman" w:hAnsi="Times New Roman" w:cs="Times New Roman"/>
                <w:kern w:val="0"/>
                <w:u w:val="single"/>
                <w:lang w:eastAsia="en-US" w:bidi="ar-SA"/>
              </w:rPr>
              <w:t>λ</w:t>
            </w:r>
          </w:p>
        </w:tc>
      </w:tr>
      <w:tr w:rsidR="00BD1967" w:rsidRPr="00CF0DF4" w14:paraId="4978CC55" w14:textId="77777777" w:rsidTr="00E6203F">
        <w:trPr>
          <w:trHeight w:val="20"/>
        </w:trPr>
        <w:tc>
          <w:tcPr>
            <w:tcW w:w="3168" w:type="dxa"/>
            <w:tcBorders>
              <w:top w:val="nil"/>
              <w:left w:val="nil"/>
              <w:bottom w:val="nil"/>
              <w:right w:val="nil"/>
            </w:tcBorders>
            <w:shd w:val="clear" w:color="000000" w:fill="F2F2F2"/>
            <w:noWrap/>
            <w:vAlign w:val="center"/>
            <w:hideMark/>
          </w:tcPr>
          <w:p w14:paraId="59DBC786"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OLYMPEX_Spi-Des_100RHa</w:t>
            </w:r>
          </w:p>
        </w:tc>
        <w:tc>
          <w:tcPr>
            <w:tcW w:w="432" w:type="dxa"/>
            <w:tcBorders>
              <w:top w:val="nil"/>
              <w:left w:val="dotted" w:sz="4" w:space="0" w:color="auto"/>
              <w:bottom w:val="nil"/>
              <w:right w:val="nil"/>
            </w:tcBorders>
            <w:shd w:val="clear" w:color="000000" w:fill="F2F2F2"/>
            <w:noWrap/>
            <w:vAlign w:val="center"/>
            <w:hideMark/>
          </w:tcPr>
          <w:p w14:paraId="5F82456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3AE806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881ABE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21AD137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7CF8B0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0154F2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C8978B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0E7A74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2209BA4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6A3CA5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397298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920A0F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3CB1E4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2559D1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7615876" w14:textId="77777777" w:rsidTr="00E6203F">
        <w:trPr>
          <w:trHeight w:val="20"/>
        </w:trPr>
        <w:tc>
          <w:tcPr>
            <w:tcW w:w="3168" w:type="dxa"/>
            <w:tcBorders>
              <w:top w:val="nil"/>
              <w:left w:val="nil"/>
              <w:bottom w:val="nil"/>
              <w:right w:val="nil"/>
            </w:tcBorders>
            <w:shd w:val="clear" w:color="000000" w:fill="F2F2F2"/>
            <w:noWrap/>
            <w:vAlign w:val="center"/>
            <w:hideMark/>
          </w:tcPr>
          <w:p w14:paraId="3A43A33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OLYMPEX_Ram-Des_100RH</w:t>
            </w:r>
          </w:p>
        </w:tc>
        <w:tc>
          <w:tcPr>
            <w:tcW w:w="432" w:type="dxa"/>
            <w:tcBorders>
              <w:top w:val="nil"/>
              <w:left w:val="dotted" w:sz="4" w:space="0" w:color="auto"/>
              <w:bottom w:val="nil"/>
              <w:right w:val="nil"/>
            </w:tcBorders>
            <w:shd w:val="clear" w:color="000000" w:fill="F2F2F2"/>
            <w:noWrap/>
            <w:vAlign w:val="center"/>
            <w:hideMark/>
          </w:tcPr>
          <w:p w14:paraId="4FD909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44617F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0129F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573198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BA76F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1759C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7F7CB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684399F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047782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77C7480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3234F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6CA4E7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D4C470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24CCD0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299B127" w14:textId="77777777" w:rsidTr="00E6203F">
        <w:trPr>
          <w:trHeight w:val="20"/>
        </w:trPr>
        <w:tc>
          <w:tcPr>
            <w:tcW w:w="3168" w:type="dxa"/>
            <w:tcBorders>
              <w:top w:val="nil"/>
              <w:left w:val="nil"/>
              <w:bottom w:val="nil"/>
              <w:right w:val="nil"/>
            </w:tcBorders>
            <w:shd w:val="clear" w:color="000000" w:fill="F2F2F2"/>
            <w:noWrap/>
            <w:vAlign w:val="center"/>
            <w:hideMark/>
          </w:tcPr>
          <w:p w14:paraId="0C8B6A1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OLYMPEX_Spi-Des_100RHb</w:t>
            </w:r>
          </w:p>
        </w:tc>
        <w:tc>
          <w:tcPr>
            <w:tcW w:w="432" w:type="dxa"/>
            <w:tcBorders>
              <w:top w:val="nil"/>
              <w:left w:val="dotted" w:sz="4" w:space="0" w:color="auto"/>
              <w:bottom w:val="nil"/>
              <w:right w:val="nil"/>
            </w:tcBorders>
            <w:shd w:val="clear" w:color="000000" w:fill="F2F2F2"/>
            <w:noWrap/>
            <w:vAlign w:val="center"/>
            <w:hideMark/>
          </w:tcPr>
          <w:p w14:paraId="5B71587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65C510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E9C89E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166324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46A1AD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593FB4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91B988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2B8372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2029D76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03834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742D5F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A161DF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D87B94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ADAAFD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5356FFC" w14:textId="77777777" w:rsidTr="00E6203F">
        <w:trPr>
          <w:trHeight w:val="20"/>
        </w:trPr>
        <w:tc>
          <w:tcPr>
            <w:tcW w:w="3168" w:type="dxa"/>
            <w:tcBorders>
              <w:top w:val="nil"/>
              <w:left w:val="nil"/>
              <w:bottom w:val="nil"/>
              <w:right w:val="nil"/>
            </w:tcBorders>
            <w:shd w:val="clear" w:color="000000" w:fill="F2F2F2"/>
            <w:noWrap/>
            <w:vAlign w:val="center"/>
            <w:hideMark/>
          </w:tcPr>
          <w:p w14:paraId="1D2DEAB4"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OLYMPEX_Spi-Des_100RHc</w:t>
            </w:r>
          </w:p>
        </w:tc>
        <w:tc>
          <w:tcPr>
            <w:tcW w:w="432" w:type="dxa"/>
            <w:tcBorders>
              <w:top w:val="nil"/>
              <w:left w:val="dotted" w:sz="4" w:space="0" w:color="auto"/>
              <w:bottom w:val="nil"/>
              <w:right w:val="nil"/>
            </w:tcBorders>
            <w:shd w:val="clear" w:color="000000" w:fill="F2F2F2"/>
            <w:noWrap/>
            <w:vAlign w:val="center"/>
            <w:hideMark/>
          </w:tcPr>
          <w:p w14:paraId="0591C47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42A27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029DF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177505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951AE3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D95259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DCFB3D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4345DA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57FADD1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4E007F0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415971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B532B7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0B8798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01C354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2F4D662F" w14:textId="77777777" w:rsidTr="00E6203F">
        <w:trPr>
          <w:trHeight w:val="20"/>
        </w:trPr>
        <w:tc>
          <w:tcPr>
            <w:tcW w:w="3168" w:type="dxa"/>
            <w:tcBorders>
              <w:top w:val="nil"/>
              <w:left w:val="nil"/>
              <w:bottom w:val="nil"/>
              <w:right w:val="nil"/>
            </w:tcBorders>
            <w:shd w:val="clear" w:color="000000" w:fill="F2F2F2"/>
            <w:noWrap/>
            <w:vAlign w:val="center"/>
            <w:hideMark/>
          </w:tcPr>
          <w:p w14:paraId="4E160C69"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GCPEX_Spi-Asc_100RH</w:t>
            </w:r>
          </w:p>
        </w:tc>
        <w:tc>
          <w:tcPr>
            <w:tcW w:w="432" w:type="dxa"/>
            <w:tcBorders>
              <w:top w:val="nil"/>
              <w:left w:val="dotted" w:sz="4" w:space="0" w:color="auto"/>
              <w:bottom w:val="nil"/>
              <w:right w:val="nil"/>
            </w:tcBorders>
            <w:shd w:val="clear" w:color="000000" w:fill="F2F2F2"/>
            <w:noWrap/>
            <w:vAlign w:val="center"/>
            <w:hideMark/>
          </w:tcPr>
          <w:p w14:paraId="3EE6E7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B4314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177E715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68D0088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FE3F3A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707ABA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C5213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3CD33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622D36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7B9CE4B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D00075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525948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DC0D52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9BE945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E84C5A5" w14:textId="77777777" w:rsidTr="00E6203F">
        <w:trPr>
          <w:trHeight w:val="20"/>
        </w:trPr>
        <w:tc>
          <w:tcPr>
            <w:tcW w:w="3168" w:type="dxa"/>
            <w:tcBorders>
              <w:top w:val="nil"/>
              <w:left w:val="nil"/>
              <w:bottom w:val="nil"/>
              <w:right w:val="nil"/>
            </w:tcBorders>
            <w:shd w:val="clear" w:color="000000" w:fill="F2F2F2"/>
            <w:noWrap/>
            <w:vAlign w:val="center"/>
            <w:hideMark/>
          </w:tcPr>
          <w:p w14:paraId="4755E2BB"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IPHEX_Spi-Asc_100RH</w:t>
            </w:r>
          </w:p>
        </w:tc>
        <w:tc>
          <w:tcPr>
            <w:tcW w:w="432" w:type="dxa"/>
            <w:tcBorders>
              <w:top w:val="nil"/>
              <w:left w:val="dotted" w:sz="4" w:space="0" w:color="auto"/>
              <w:bottom w:val="nil"/>
              <w:right w:val="nil"/>
            </w:tcBorders>
            <w:shd w:val="clear" w:color="000000" w:fill="F2F2F2"/>
            <w:noWrap/>
            <w:vAlign w:val="center"/>
            <w:hideMark/>
          </w:tcPr>
          <w:p w14:paraId="44E7E89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FD3B0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71C1E5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1CC60E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5153BD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AA5BFB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3B969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B08F52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71B0C42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256141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1F21E82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2D443F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44010C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8CF949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B4FB724" w14:textId="77777777" w:rsidTr="00E6203F">
        <w:trPr>
          <w:trHeight w:val="20"/>
        </w:trPr>
        <w:tc>
          <w:tcPr>
            <w:tcW w:w="3168" w:type="dxa"/>
            <w:tcBorders>
              <w:top w:val="nil"/>
              <w:left w:val="nil"/>
              <w:bottom w:val="nil"/>
              <w:right w:val="nil"/>
            </w:tcBorders>
            <w:shd w:val="clear" w:color="000000" w:fill="FFFFFF"/>
            <w:noWrap/>
            <w:vAlign w:val="center"/>
            <w:hideMark/>
          </w:tcPr>
          <w:p w14:paraId="169EFB6C"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GCPEX_Spi-Asc_99RH</w:t>
            </w:r>
          </w:p>
        </w:tc>
        <w:tc>
          <w:tcPr>
            <w:tcW w:w="432" w:type="dxa"/>
            <w:tcBorders>
              <w:top w:val="nil"/>
              <w:left w:val="dotted" w:sz="4" w:space="0" w:color="auto"/>
              <w:bottom w:val="nil"/>
              <w:right w:val="nil"/>
            </w:tcBorders>
            <w:shd w:val="clear" w:color="000000" w:fill="FFFFFF"/>
            <w:noWrap/>
            <w:vAlign w:val="center"/>
            <w:hideMark/>
          </w:tcPr>
          <w:p w14:paraId="6C2025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853C2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05043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2404A2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76A07B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9B61A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A2BE3A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0C868B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365E41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6EAFA6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F950AE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3D0E0D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F4E818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1CC07A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3C308B6" w14:textId="77777777" w:rsidTr="00E6203F">
        <w:trPr>
          <w:trHeight w:val="20"/>
        </w:trPr>
        <w:tc>
          <w:tcPr>
            <w:tcW w:w="3168" w:type="dxa"/>
            <w:tcBorders>
              <w:top w:val="nil"/>
              <w:left w:val="nil"/>
              <w:bottom w:val="nil"/>
              <w:right w:val="nil"/>
            </w:tcBorders>
            <w:shd w:val="clear" w:color="000000" w:fill="FFFFFF"/>
            <w:noWrap/>
            <w:vAlign w:val="center"/>
            <w:hideMark/>
          </w:tcPr>
          <w:p w14:paraId="5C31AF80"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OLYMPEX_Spi-Asc_99RHa</w:t>
            </w:r>
          </w:p>
        </w:tc>
        <w:tc>
          <w:tcPr>
            <w:tcW w:w="432" w:type="dxa"/>
            <w:tcBorders>
              <w:top w:val="nil"/>
              <w:left w:val="dotted" w:sz="4" w:space="0" w:color="auto"/>
              <w:bottom w:val="nil"/>
              <w:right w:val="nil"/>
            </w:tcBorders>
            <w:shd w:val="clear" w:color="000000" w:fill="FFFFFF"/>
            <w:noWrap/>
            <w:vAlign w:val="center"/>
            <w:hideMark/>
          </w:tcPr>
          <w:p w14:paraId="7926B00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C3B869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2A6E92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84B740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1AE27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12E2AE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32F90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2D659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435CD6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F1540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D46506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D87E6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1AB167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B8A4D4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ACC971E" w14:textId="77777777" w:rsidTr="00E6203F">
        <w:trPr>
          <w:trHeight w:val="20"/>
        </w:trPr>
        <w:tc>
          <w:tcPr>
            <w:tcW w:w="3168" w:type="dxa"/>
            <w:tcBorders>
              <w:top w:val="nil"/>
              <w:left w:val="nil"/>
              <w:bottom w:val="nil"/>
              <w:right w:val="nil"/>
            </w:tcBorders>
            <w:shd w:val="clear" w:color="000000" w:fill="FFFFFF"/>
            <w:noWrap/>
            <w:vAlign w:val="center"/>
            <w:hideMark/>
          </w:tcPr>
          <w:p w14:paraId="4C32143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OLYMPEX_Ram-Des_99RH</w:t>
            </w:r>
          </w:p>
        </w:tc>
        <w:tc>
          <w:tcPr>
            <w:tcW w:w="432" w:type="dxa"/>
            <w:tcBorders>
              <w:top w:val="nil"/>
              <w:left w:val="dotted" w:sz="4" w:space="0" w:color="auto"/>
              <w:bottom w:val="nil"/>
              <w:right w:val="nil"/>
            </w:tcBorders>
            <w:shd w:val="clear" w:color="000000" w:fill="FFFFFF"/>
            <w:noWrap/>
            <w:vAlign w:val="center"/>
            <w:hideMark/>
          </w:tcPr>
          <w:p w14:paraId="383F7E7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6E3834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1312CA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68A593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48E1B7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AC0F8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80A36E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AE8B4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C5BAD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413225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D18F0D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0DD54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5F6392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1FA4F9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7EA4F904" w14:textId="77777777" w:rsidTr="00E6203F">
        <w:trPr>
          <w:trHeight w:val="20"/>
        </w:trPr>
        <w:tc>
          <w:tcPr>
            <w:tcW w:w="3168" w:type="dxa"/>
            <w:tcBorders>
              <w:top w:val="nil"/>
              <w:left w:val="nil"/>
              <w:bottom w:val="nil"/>
              <w:right w:val="nil"/>
            </w:tcBorders>
            <w:shd w:val="clear" w:color="000000" w:fill="FFFFFF"/>
            <w:noWrap/>
            <w:vAlign w:val="center"/>
            <w:hideMark/>
          </w:tcPr>
          <w:p w14:paraId="25CE4160"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OLYMPEX_Spi-Asc_99RHb</w:t>
            </w:r>
          </w:p>
        </w:tc>
        <w:tc>
          <w:tcPr>
            <w:tcW w:w="432" w:type="dxa"/>
            <w:tcBorders>
              <w:top w:val="nil"/>
              <w:left w:val="dotted" w:sz="4" w:space="0" w:color="auto"/>
              <w:bottom w:val="nil"/>
              <w:right w:val="nil"/>
            </w:tcBorders>
            <w:shd w:val="clear" w:color="000000" w:fill="FFFFFF"/>
            <w:noWrap/>
            <w:vAlign w:val="center"/>
            <w:hideMark/>
          </w:tcPr>
          <w:p w14:paraId="74AED3C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1FFFD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4A7EB4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8F9941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9B381B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683FB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063D67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1283F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023318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1309E8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13F67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86729E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8BE7D7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EE051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DDDCE86" w14:textId="77777777" w:rsidTr="00E6203F">
        <w:trPr>
          <w:trHeight w:val="20"/>
        </w:trPr>
        <w:tc>
          <w:tcPr>
            <w:tcW w:w="3168" w:type="dxa"/>
            <w:tcBorders>
              <w:top w:val="nil"/>
              <w:left w:val="nil"/>
              <w:bottom w:val="nil"/>
              <w:right w:val="nil"/>
            </w:tcBorders>
            <w:shd w:val="clear" w:color="000000" w:fill="FFFFFF"/>
            <w:noWrap/>
            <w:vAlign w:val="center"/>
            <w:hideMark/>
          </w:tcPr>
          <w:p w14:paraId="19F1FF39" w14:textId="0A13F9DB"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Asc_99RH</w:t>
            </w:r>
          </w:p>
        </w:tc>
        <w:tc>
          <w:tcPr>
            <w:tcW w:w="432" w:type="dxa"/>
            <w:tcBorders>
              <w:top w:val="nil"/>
              <w:left w:val="dotted" w:sz="4" w:space="0" w:color="auto"/>
              <w:bottom w:val="nil"/>
              <w:right w:val="nil"/>
            </w:tcBorders>
            <w:shd w:val="clear" w:color="000000" w:fill="FFFFFF"/>
            <w:noWrap/>
            <w:vAlign w:val="center"/>
            <w:hideMark/>
          </w:tcPr>
          <w:p w14:paraId="73D8EF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465C12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EB0A5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9B6E00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7BDE72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B5A99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DC8D32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C5A7EA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56B998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924B2B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FE8270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82F66D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D88C0F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25E7C9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5BF3FD24" w14:textId="77777777" w:rsidTr="00E6203F">
        <w:trPr>
          <w:trHeight w:val="20"/>
        </w:trPr>
        <w:tc>
          <w:tcPr>
            <w:tcW w:w="3168" w:type="dxa"/>
            <w:tcBorders>
              <w:top w:val="nil"/>
              <w:left w:val="nil"/>
              <w:bottom w:val="nil"/>
              <w:right w:val="nil"/>
            </w:tcBorders>
            <w:shd w:val="clear" w:color="000000" w:fill="FFFFFF"/>
            <w:noWrap/>
            <w:vAlign w:val="center"/>
            <w:hideMark/>
          </w:tcPr>
          <w:p w14:paraId="6148AA38"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OLYMPEX_Ram-Des_98RHa</w:t>
            </w:r>
          </w:p>
        </w:tc>
        <w:tc>
          <w:tcPr>
            <w:tcW w:w="432" w:type="dxa"/>
            <w:tcBorders>
              <w:top w:val="nil"/>
              <w:left w:val="dotted" w:sz="4" w:space="0" w:color="auto"/>
              <w:bottom w:val="nil"/>
              <w:right w:val="nil"/>
            </w:tcBorders>
            <w:shd w:val="clear" w:color="000000" w:fill="FFFFFF"/>
            <w:noWrap/>
            <w:vAlign w:val="center"/>
            <w:hideMark/>
          </w:tcPr>
          <w:p w14:paraId="3BB7016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6BCDAA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61E030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866F7D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13EB3D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D863CE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1DB8F9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F20384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21B93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6FDEB5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639E3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5D1455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85D91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899B65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10B1BA1" w14:textId="77777777" w:rsidTr="00E6203F">
        <w:trPr>
          <w:trHeight w:val="20"/>
        </w:trPr>
        <w:tc>
          <w:tcPr>
            <w:tcW w:w="3168" w:type="dxa"/>
            <w:tcBorders>
              <w:top w:val="nil"/>
              <w:left w:val="nil"/>
              <w:bottom w:val="nil"/>
              <w:right w:val="nil"/>
            </w:tcBorders>
            <w:shd w:val="clear" w:color="000000" w:fill="FFFFFF"/>
            <w:noWrap/>
            <w:vAlign w:val="center"/>
            <w:hideMark/>
          </w:tcPr>
          <w:p w14:paraId="3A43455D"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OLYMPEX_Spi-Asc_98RH</w:t>
            </w:r>
          </w:p>
        </w:tc>
        <w:tc>
          <w:tcPr>
            <w:tcW w:w="432" w:type="dxa"/>
            <w:tcBorders>
              <w:top w:val="nil"/>
              <w:left w:val="dotted" w:sz="4" w:space="0" w:color="auto"/>
              <w:bottom w:val="nil"/>
              <w:right w:val="nil"/>
            </w:tcBorders>
            <w:shd w:val="clear" w:color="000000" w:fill="FFFFFF"/>
            <w:noWrap/>
            <w:vAlign w:val="center"/>
            <w:hideMark/>
          </w:tcPr>
          <w:p w14:paraId="41C8E1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274F26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B84BAE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E02129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08F33C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0C2DA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E546F7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844EDC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76241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F6E5EB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8344EE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9C2AA4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C0B943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34249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548219E" w14:textId="77777777" w:rsidTr="00E6203F">
        <w:trPr>
          <w:trHeight w:val="20"/>
        </w:trPr>
        <w:tc>
          <w:tcPr>
            <w:tcW w:w="3168" w:type="dxa"/>
            <w:tcBorders>
              <w:top w:val="nil"/>
              <w:left w:val="nil"/>
              <w:bottom w:val="nil"/>
              <w:right w:val="nil"/>
            </w:tcBorders>
            <w:shd w:val="clear" w:color="000000" w:fill="FFFFFF"/>
            <w:noWrap/>
            <w:vAlign w:val="center"/>
            <w:hideMark/>
          </w:tcPr>
          <w:p w14:paraId="622FBEB0"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OLYMPEX_Ram-Des_98RHb</w:t>
            </w:r>
          </w:p>
        </w:tc>
        <w:tc>
          <w:tcPr>
            <w:tcW w:w="432" w:type="dxa"/>
            <w:tcBorders>
              <w:top w:val="nil"/>
              <w:left w:val="dotted" w:sz="4" w:space="0" w:color="auto"/>
              <w:bottom w:val="nil"/>
              <w:right w:val="nil"/>
            </w:tcBorders>
            <w:shd w:val="clear" w:color="000000" w:fill="FFFFFF"/>
            <w:noWrap/>
            <w:vAlign w:val="center"/>
            <w:hideMark/>
          </w:tcPr>
          <w:p w14:paraId="5CB33F8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399E7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24D4D7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AA101E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DD1EB0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9335B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24AB2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6A3CAF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4AE172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5BC3B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1404D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AEA8C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30AE8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49578C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741FC29E" w14:textId="77777777" w:rsidTr="00E6203F">
        <w:trPr>
          <w:trHeight w:val="20"/>
        </w:trPr>
        <w:tc>
          <w:tcPr>
            <w:tcW w:w="3168" w:type="dxa"/>
            <w:tcBorders>
              <w:top w:val="nil"/>
              <w:left w:val="nil"/>
              <w:bottom w:val="nil"/>
              <w:right w:val="nil"/>
            </w:tcBorders>
            <w:shd w:val="clear" w:color="000000" w:fill="FFFFFF"/>
            <w:noWrap/>
            <w:vAlign w:val="center"/>
            <w:hideMark/>
          </w:tcPr>
          <w:p w14:paraId="1B3E9FBD" w14:textId="2AC2297D"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Asc_97RH</w:t>
            </w:r>
          </w:p>
        </w:tc>
        <w:tc>
          <w:tcPr>
            <w:tcW w:w="432" w:type="dxa"/>
            <w:tcBorders>
              <w:top w:val="nil"/>
              <w:left w:val="dotted" w:sz="4" w:space="0" w:color="auto"/>
              <w:bottom w:val="nil"/>
              <w:right w:val="nil"/>
            </w:tcBorders>
            <w:shd w:val="clear" w:color="000000" w:fill="FFFFFF"/>
            <w:noWrap/>
            <w:vAlign w:val="center"/>
            <w:hideMark/>
          </w:tcPr>
          <w:p w14:paraId="4C82DA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30037A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A6373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4478FE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869182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2CFFAE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FD8C03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951D69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3A240E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2A2081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D1DFA9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223DD6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4F0C09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319E9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448A80C" w14:textId="77777777" w:rsidTr="00E6203F">
        <w:trPr>
          <w:trHeight w:val="20"/>
        </w:trPr>
        <w:tc>
          <w:tcPr>
            <w:tcW w:w="3168" w:type="dxa"/>
            <w:tcBorders>
              <w:top w:val="nil"/>
              <w:left w:val="nil"/>
              <w:bottom w:val="nil"/>
              <w:right w:val="nil"/>
            </w:tcBorders>
            <w:shd w:val="clear" w:color="000000" w:fill="FFFFFF"/>
            <w:noWrap/>
            <w:vAlign w:val="center"/>
            <w:hideMark/>
          </w:tcPr>
          <w:p w14:paraId="017A0F8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OLYMPEX_Ram-Des_96RH</w:t>
            </w:r>
          </w:p>
        </w:tc>
        <w:tc>
          <w:tcPr>
            <w:tcW w:w="432" w:type="dxa"/>
            <w:tcBorders>
              <w:top w:val="nil"/>
              <w:left w:val="dotted" w:sz="4" w:space="0" w:color="auto"/>
              <w:bottom w:val="nil"/>
              <w:right w:val="nil"/>
            </w:tcBorders>
            <w:shd w:val="clear" w:color="000000" w:fill="FFFFFF"/>
            <w:noWrap/>
            <w:vAlign w:val="center"/>
            <w:hideMark/>
          </w:tcPr>
          <w:p w14:paraId="42B35A4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59B4FA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24A9FC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3DFF8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256895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CE05D5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668F6E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3D47C7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9B6DF6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77A46E6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A2BF0B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2BF20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94554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3BCFD2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709E0D1" w14:textId="77777777" w:rsidTr="00E6203F">
        <w:trPr>
          <w:trHeight w:val="20"/>
        </w:trPr>
        <w:tc>
          <w:tcPr>
            <w:tcW w:w="3168" w:type="dxa"/>
            <w:tcBorders>
              <w:top w:val="nil"/>
              <w:left w:val="nil"/>
              <w:bottom w:val="nil"/>
              <w:right w:val="nil"/>
            </w:tcBorders>
            <w:shd w:val="clear" w:color="000000" w:fill="FFFFFF"/>
            <w:noWrap/>
            <w:vAlign w:val="center"/>
            <w:hideMark/>
          </w:tcPr>
          <w:p w14:paraId="626396F8"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IMPACTS_Ram-Asc_95RH</w:t>
            </w:r>
          </w:p>
        </w:tc>
        <w:tc>
          <w:tcPr>
            <w:tcW w:w="432" w:type="dxa"/>
            <w:tcBorders>
              <w:top w:val="nil"/>
              <w:left w:val="dotted" w:sz="4" w:space="0" w:color="auto"/>
              <w:bottom w:val="nil"/>
              <w:right w:val="nil"/>
            </w:tcBorders>
            <w:shd w:val="clear" w:color="000000" w:fill="FFFFFF"/>
            <w:noWrap/>
            <w:vAlign w:val="center"/>
            <w:hideMark/>
          </w:tcPr>
          <w:p w14:paraId="21A3944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B7CBFD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BD75B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FE73EF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566A9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E76CB5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E63CE6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5F3152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980103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0FA5ED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015A17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8DF5A7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B9F89E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27B80D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880EF4A" w14:textId="77777777" w:rsidTr="00E6203F">
        <w:trPr>
          <w:trHeight w:val="20"/>
        </w:trPr>
        <w:tc>
          <w:tcPr>
            <w:tcW w:w="3168" w:type="dxa"/>
            <w:tcBorders>
              <w:top w:val="nil"/>
              <w:left w:val="nil"/>
              <w:bottom w:val="nil"/>
              <w:right w:val="nil"/>
            </w:tcBorders>
            <w:shd w:val="clear" w:color="000000" w:fill="FFFFFF"/>
            <w:noWrap/>
            <w:vAlign w:val="center"/>
            <w:hideMark/>
          </w:tcPr>
          <w:p w14:paraId="11027451"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OLYMPEX_Ram-Asc_95RH</w:t>
            </w:r>
          </w:p>
        </w:tc>
        <w:tc>
          <w:tcPr>
            <w:tcW w:w="432" w:type="dxa"/>
            <w:tcBorders>
              <w:top w:val="nil"/>
              <w:left w:val="dotted" w:sz="4" w:space="0" w:color="auto"/>
              <w:bottom w:val="nil"/>
              <w:right w:val="nil"/>
            </w:tcBorders>
            <w:shd w:val="clear" w:color="000000" w:fill="FFFFFF"/>
            <w:noWrap/>
            <w:vAlign w:val="center"/>
            <w:hideMark/>
          </w:tcPr>
          <w:p w14:paraId="2634F85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92885F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2A906F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97CF3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98B7BB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717150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B8F2BD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E92106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48C20D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ED41D9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A7FE2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726EE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B9373D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2D034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72F3E88" w14:textId="77777777" w:rsidTr="00E6203F">
        <w:trPr>
          <w:trHeight w:val="20"/>
        </w:trPr>
        <w:tc>
          <w:tcPr>
            <w:tcW w:w="3168" w:type="dxa"/>
            <w:tcBorders>
              <w:top w:val="nil"/>
              <w:left w:val="nil"/>
              <w:bottom w:val="nil"/>
              <w:right w:val="nil"/>
            </w:tcBorders>
            <w:shd w:val="clear" w:color="000000" w:fill="FFFFFF"/>
            <w:noWrap/>
            <w:vAlign w:val="center"/>
            <w:hideMark/>
          </w:tcPr>
          <w:p w14:paraId="1568D70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MC3E_Spi-Des_95RH</w:t>
            </w:r>
          </w:p>
        </w:tc>
        <w:tc>
          <w:tcPr>
            <w:tcW w:w="432" w:type="dxa"/>
            <w:tcBorders>
              <w:top w:val="nil"/>
              <w:left w:val="dotted" w:sz="4" w:space="0" w:color="auto"/>
              <w:bottom w:val="nil"/>
              <w:right w:val="nil"/>
            </w:tcBorders>
            <w:shd w:val="clear" w:color="000000" w:fill="FFFFFF"/>
            <w:noWrap/>
            <w:vAlign w:val="center"/>
            <w:hideMark/>
          </w:tcPr>
          <w:p w14:paraId="720F008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49385E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A856A9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B5774C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528DB0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B676D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9DB70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268CE8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59C790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80B8D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E35A1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A8ACE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A18C5A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3643AC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4590A7B" w14:textId="77777777" w:rsidTr="00E6203F">
        <w:trPr>
          <w:trHeight w:val="20"/>
        </w:trPr>
        <w:tc>
          <w:tcPr>
            <w:tcW w:w="3168" w:type="dxa"/>
            <w:tcBorders>
              <w:top w:val="nil"/>
              <w:left w:val="nil"/>
              <w:bottom w:val="nil"/>
              <w:right w:val="nil"/>
            </w:tcBorders>
            <w:shd w:val="clear" w:color="000000" w:fill="FFFFFF"/>
            <w:noWrap/>
            <w:vAlign w:val="center"/>
            <w:hideMark/>
          </w:tcPr>
          <w:p w14:paraId="0A7EAC45" w14:textId="23FDC21C"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Des_95RH</w:t>
            </w:r>
          </w:p>
        </w:tc>
        <w:tc>
          <w:tcPr>
            <w:tcW w:w="432" w:type="dxa"/>
            <w:tcBorders>
              <w:top w:val="nil"/>
              <w:left w:val="dotted" w:sz="4" w:space="0" w:color="auto"/>
              <w:bottom w:val="nil"/>
              <w:right w:val="nil"/>
            </w:tcBorders>
            <w:shd w:val="clear" w:color="000000" w:fill="FFFFFF"/>
            <w:noWrap/>
            <w:vAlign w:val="center"/>
            <w:hideMark/>
          </w:tcPr>
          <w:p w14:paraId="38A383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402F8F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115810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104DC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297F28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A3FEC2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153561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51B1D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C4D736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250E0D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3CDF78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F9D35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D29CC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7989A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C6D30D4" w14:textId="77777777" w:rsidTr="00E6203F">
        <w:trPr>
          <w:trHeight w:val="20"/>
        </w:trPr>
        <w:tc>
          <w:tcPr>
            <w:tcW w:w="3168" w:type="dxa"/>
            <w:tcBorders>
              <w:top w:val="nil"/>
              <w:left w:val="nil"/>
              <w:bottom w:val="nil"/>
              <w:right w:val="nil"/>
            </w:tcBorders>
            <w:shd w:val="clear" w:color="000000" w:fill="F2F2F2"/>
            <w:noWrap/>
            <w:vAlign w:val="center"/>
            <w:hideMark/>
          </w:tcPr>
          <w:p w14:paraId="56F3DCBC"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IMPACTS_Spi-Des_94RH</w:t>
            </w:r>
          </w:p>
        </w:tc>
        <w:tc>
          <w:tcPr>
            <w:tcW w:w="432" w:type="dxa"/>
            <w:tcBorders>
              <w:top w:val="nil"/>
              <w:left w:val="dotted" w:sz="4" w:space="0" w:color="auto"/>
              <w:bottom w:val="nil"/>
              <w:right w:val="nil"/>
            </w:tcBorders>
            <w:shd w:val="clear" w:color="000000" w:fill="F2F2F2"/>
            <w:noWrap/>
            <w:vAlign w:val="center"/>
            <w:hideMark/>
          </w:tcPr>
          <w:p w14:paraId="6468002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4DA82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DC1DA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20F7E43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60FA644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0E5B2E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70D7A8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B2327E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7EBE7C2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6CACF0D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19F56A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8CCC8B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33E0D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E88428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97D45CB" w14:textId="77777777" w:rsidTr="00E6203F">
        <w:trPr>
          <w:trHeight w:val="20"/>
        </w:trPr>
        <w:tc>
          <w:tcPr>
            <w:tcW w:w="3168" w:type="dxa"/>
            <w:tcBorders>
              <w:top w:val="nil"/>
              <w:left w:val="nil"/>
              <w:bottom w:val="nil"/>
              <w:right w:val="nil"/>
            </w:tcBorders>
            <w:shd w:val="clear" w:color="000000" w:fill="F2F2F2"/>
            <w:noWrap/>
            <w:vAlign w:val="center"/>
            <w:hideMark/>
          </w:tcPr>
          <w:p w14:paraId="13F7024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IPHEX_Ram-Asc_92RH</w:t>
            </w:r>
          </w:p>
        </w:tc>
        <w:tc>
          <w:tcPr>
            <w:tcW w:w="432" w:type="dxa"/>
            <w:tcBorders>
              <w:top w:val="nil"/>
              <w:left w:val="dotted" w:sz="4" w:space="0" w:color="auto"/>
              <w:bottom w:val="nil"/>
              <w:right w:val="nil"/>
            </w:tcBorders>
            <w:shd w:val="clear" w:color="000000" w:fill="F2F2F2"/>
            <w:noWrap/>
            <w:vAlign w:val="center"/>
            <w:hideMark/>
          </w:tcPr>
          <w:p w14:paraId="061ECEF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66F6683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1607FB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4B5436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8BBA17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12E51A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9007F5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322F5F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0F43D7A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38B42AD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2DC041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D95067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925306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2BFF74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281632A8" w14:textId="77777777" w:rsidTr="00E6203F">
        <w:trPr>
          <w:trHeight w:val="20"/>
        </w:trPr>
        <w:tc>
          <w:tcPr>
            <w:tcW w:w="3168" w:type="dxa"/>
            <w:tcBorders>
              <w:top w:val="nil"/>
              <w:left w:val="nil"/>
              <w:bottom w:val="nil"/>
              <w:right w:val="nil"/>
            </w:tcBorders>
            <w:shd w:val="clear" w:color="000000" w:fill="F2F2F2"/>
            <w:noWrap/>
            <w:vAlign w:val="center"/>
            <w:hideMark/>
          </w:tcPr>
          <w:p w14:paraId="75EB33AB"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OLYMPEX_Ram-Asc_92RH</w:t>
            </w:r>
          </w:p>
        </w:tc>
        <w:tc>
          <w:tcPr>
            <w:tcW w:w="432" w:type="dxa"/>
            <w:tcBorders>
              <w:top w:val="nil"/>
              <w:left w:val="dotted" w:sz="4" w:space="0" w:color="auto"/>
              <w:bottom w:val="nil"/>
              <w:right w:val="nil"/>
            </w:tcBorders>
            <w:shd w:val="clear" w:color="000000" w:fill="F2F2F2"/>
            <w:noWrap/>
            <w:vAlign w:val="center"/>
            <w:hideMark/>
          </w:tcPr>
          <w:p w14:paraId="5B2A1D6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9B7FDF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296FA5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150EE7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7D3D1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4207C5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D4F1E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F4C292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47D2A6F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775B17C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CAB4DC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2D2F50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20FCB0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2EC236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5A0249BB" w14:textId="77777777" w:rsidTr="00E6203F">
        <w:trPr>
          <w:trHeight w:val="20"/>
        </w:trPr>
        <w:tc>
          <w:tcPr>
            <w:tcW w:w="3168" w:type="dxa"/>
            <w:tcBorders>
              <w:top w:val="nil"/>
              <w:left w:val="nil"/>
              <w:bottom w:val="nil"/>
              <w:right w:val="nil"/>
            </w:tcBorders>
            <w:shd w:val="clear" w:color="000000" w:fill="F2F2F2"/>
            <w:noWrap/>
            <w:vAlign w:val="center"/>
            <w:hideMark/>
          </w:tcPr>
          <w:p w14:paraId="76A22F8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OLYMPEX_Ram-Des_91RH</w:t>
            </w:r>
          </w:p>
        </w:tc>
        <w:tc>
          <w:tcPr>
            <w:tcW w:w="432" w:type="dxa"/>
            <w:tcBorders>
              <w:top w:val="nil"/>
              <w:left w:val="dotted" w:sz="4" w:space="0" w:color="auto"/>
              <w:bottom w:val="nil"/>
              <w:right w:val="nil"/>
            </w:tcBorders>
            <w:shd w:val="clear" w:color="000000" w:fill="F2F2F2"/>
            <w:noWrap/>
            <w:vAlign w:val="center"/>
            <w:hideMark/>
          </w:tcPr>
          <w:p w14:paraId="4705EF0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9AF1CE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DF5C44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3878C91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CC8432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9C47B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1B8D81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B46807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4ABAF8C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1E5ABF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6303619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3C3106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D58512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02D041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BBA5893" w14:textId="77777777" w:rsidTr="00D904DC">
        <w:trPr>
          <w:trHeight w:val="126"/>
        </w:trPr>
        <w:tc>
          <w:tcPr>
            <w:tcW w:w="3168" w:type="dxa"/>
            <w:tcBorders>
              <w:top w:val="nil"/>
              <w:left w:val="nil"/>
              <w:bottom w:val="nil"/>
              <w:right w:val="nil"/>
            </w:tcBorders>
            <w:shd w:val="clear" w:color="auto" w:fill="F2F2F2" w:themeFill="background1" w:themeFillShade="F2"/>
            <w:noWrap/>
            <w:vAlign w:val="center"/>
            <w:hideMark/>
          </w:tcPr>
          <w:p w14:paraId="24D37C4E" w14:textId="4DD79148"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Asc_90RH</w:t>
            </w:r>
          </w:p>
        </w:tc>
        <w:tc>
          <w:tcPr>
            <w:tcW w:w="432" w:type="dxa"/>
            <w:tcBorders>
              <w:top w:val="nil"/>
              <w:left w:val="dotted" w:sz="4" w:space="0" w:color="auto"/>
              <w:bottom w:val="nil"/>
              <w:right w:val="nil"/>
            </w:tcBorders>
            <w:shd w:val="clear" w:color="auto" w:fill="F2F2F2" w:themeFill="background1" w:themeFillShade="F2"/>
            <w:noWrap/>
            <w:vAlign w:val="center"/>
            <w:hideMark/>
          </w:tcPr>
          <w:p w14:paraId="6054776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2374A32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4CA4AE2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auto" w:fill="F2F2F2" w:themeFill="background1" w:themeFillShade="F2"/>
            <w:noWrap/>
            <w:vAlign w:val="center"/>
            <w:hideMark/>
          </w:tcPr>
          <w:p w14:paraId="64B98F2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3DB53FC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6D5C9E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152AC32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248DC2D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auto" w:fill="F2F2F2" w:themeFill="background1" w:themeFillShade="F2"/>
            <w:noWrap/>
            <w:vAlign w:val="center"/>
            <w:hideMark/>
          </w:tcPr>
          <w:p w14:paraId="6D78FF8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auto" w:fill="F2F2F2" w:themeFill="background1" w:themeFillShade="F2"/>
            <w:noWrap/>
            <w:vAlign w:val="center"/>
            <w:hideMark/>
          </w:tcPr>
          <w:p w14:paraId="55F0ED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16C2554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384D501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0905718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30E0D0E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6DBA693" w14:textId="77777777" w:rsidTr="00E6203F">
        <w:trPr>
          <w:trHeight w:val="20"/>
        </w:trPr>
        <w:tc>
          <w:tcPr>
            <w:tcW w:w="3168" w:type="dxa"/>
            <w:tcBorders>
              <w:top w:val="nil"/>
              <w:left w:val="nil"/>
              <w:bottom w:val="nil"/>
              <w:right w:val="nil"/>
            </w:tcBorders>
            <w:shd w:val="clear" w:color="000000" w:fill="FFFFFF"/>
            <w:noWrap/>
            <w:vAlign w:val="center"/>
            <w:hideMark/>
          </w:tcPr>
          <w:p w14:paraId="76E4DD82" w14:textId="6A3D41CE"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Des_84RH</w:t>
            </w:r>
          </w:p>
        </w:tc>
        <w:tc>
          <w:tcPr>
            <w:tcW w:w="432" w:type="dxa"/>
            <w:tcBorders>
              <w:top w:val="nil"/>
              <w:left w:val="dotted" w:sz="4" w:space="0" w:color="auto"/>
              <w:bottom w:val="nil"/>
              <w:right w:val="nil"/>
            </w:tcBorders>
            <w:shd w:val="clear" w:color="000000" w:fill="FFFFFF"/>
            <w:noWrap/>
            <w:vAlign w:val="center"/>
            <w:hideMark/>
          </w:tcPr>
          <w:p w14:paraId="4512C9D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CD5786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478A5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367FA6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6FD910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8B1134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C3C856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8D74DC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6CFF1C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727B76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58674B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23884B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D476FF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89E2A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7038112" w14:textId="77777777" w:rsidTr="00E6203F">
        <w:trPr>
          <w:trHeight w:val="20"/>
        </w:trPr>
        <w:tc>
          <w:tcPr>
            <w:tcW w:w="3168" w:type="dxa"/>
            <w:tcBorders>
              <w:top w:val="nil"/>
              <w:left w:val="nil"/>
              <w:bottom w:val="nil"/>
              <w:right w:val="nil"/>
            </w:tcBorders>
            <w:shd w:val="clear" w:color="000000" w:fill="FFFFFF"/>
            <w:noWrap/>
            <w:vAlign w:val="center"/>
            <w:hideMark/>
          </w:tcPr>
          <w:p w14:paraId="73923B87"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MC3E_Ram-Asc_83RHa</w:t>
            </w:r>
          </w:p>
        </w:tc>
        <w:tc>
          <w:tcPr>
            <w:tcW w:w="432" w:type="dxa"/>
            <w:tcBorders>
              <w:top w:val="nil"/>
              <w:left w:val="dotted" w:sz="4" w:space="0" w:color="auto"/>
              <w:bottom w:val="nil"/>
              <w:right w:val="nil"/>
            </w:tcBorders>
            <w:shd w:val="clear" w:color="000000" w:fill="FFFFFF"/>
            <w:noWrap/>
            <w:vAlign w:val="center"/>
            <w:hideMark/>
          </w:tcPr>
          <w:p w14:paraId="4C0299F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ADA40C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1F3B8C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E059E9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8A2B67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53ECD5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5597C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514617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29EAF7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62BA62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391C9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AED5C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EFF51E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3F7083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BBC08B2" w14:textId="77777777" w:rsidTr="00E6203F">
        <w:trPr>
          <w:trHeight w:val="20"/>
        </w:trPr>
        <w:tc>
          <w:tcPr>
            <w:tcW w:w="3168" w:type="dxa"/>
            <w:tcBorders>
              <w:top w:val="nil"/>
              <w:left w:val="nil"/>
              <w:bottom w:val="nil"/>
              <w:right w:val="nil"/>
            </w:tcBorders>
            <w:shd w:val="clear" w:color="000000" w:fill="FFFFFF"/>
            <w:noWrap/>
            <w:vAlign w:val="center"/>
            <w:hideMark/>
          </w:tcPr>
          <w:p w14:paraId="0C7B6DE1"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MC3E_Ram-Asc_83RHb</w:t>
            </w:r>
          </w:p>
        </w:tc>
        <w:tc>
          <w:tcPr>
            <w:tcW w:w="432" w:type="dxa"/>
            <w:tcBorders>
              <w:top w:val="nil"/>
              <w:left w:val="dotted" w:sz="4" w:space="0" w:color="auto"/>
              <w:bottom w:val="nil"/>
              <w:right w:val="nil"/>
            </w:tcBorders>
            <w:shd w:val="clear" w:color="000000" w:fill="FFFFFF"/>
            <w:noWrap/>
            <w:vAlign w:val="center"/>
            <w:hideMark/>
          </w:tcPr>
          <w:p w14:paraId="7632F82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C66B87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BBFDEB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7AD0B7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42BD81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10D7C4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D64FFF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6BD6B1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BC25DE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A99F7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FB0691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DBD3CD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FD43D5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C4199F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ACD425B" w14:textId="77777777" w:rsidTr="00E6203F">
        <w:trPr>
          <w:trHeight w:val="20"/>
        </w:trPr>
        <w:tc>
          <w:tcPr>
            <w:tcW w:w="3168" w:type="dxa"/>
            <w:tcBorders>
              <w:top w:val="nil"/>
              <w:left w:val="nil"/>
              <w:bottom w:val="nil"/>
              <w:right w:val="nil"/>
            </w:tcBorders>
            <w:shd w:val="clear" w:color="000000" w:fill="FFFFFF"/>
            <w:noWrap/>
            <w:vAlign w:val="center"/>
            <w:hideMark/>
          </w:tcPr>
          <w:p w14:paraId="27A67373"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OLYMPEX_Ram-Asc_82RH</w:t>
            </w:r>
          </w:p>
        </w:tc>
        <w:tc>
          <w:tcPr>
            <w:tcW w:w="432" w:type="dxa"/>
            <w:tcBorders>
              <w:top w:val="nil"/>
              <w:left w:val="dotted" w:sz="4" w:space="0" w:color="auto"/>
              <w:bottom w:val="nil"/>
              <w:right w:val="nil"/>
            </w:tcBorders>
            <w:shd w:val="clear" w:color="000000" w:fill="FFFFFF"/>
            <w:noWrap/>
            <w:vAlign w:val="center"/>
            <w:hideMark/>
          </w:tcPr>
          <w:p w14:paraId="37A7D4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C7FB9D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B08436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70E439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94315A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DA16FF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550621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7CF07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C545E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BC2398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5256F2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825B16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912FFB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8E9577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FC35A76" w14:textId="77777777" w:rsidTr="00E6203F">
        <w:trPr>
          <w:trHeight w:val="20"/>
        </w:trPr>
        <w:tc>
          <w:tcPr>
            <w:tcW w:w="3168" w:type="dxa"/>
            <w:tcBorders>
              <w:top w:val="nil"/>
              <w:left w:val="nil"/>
              <w:bottom w:val="nil"/>
              <w:right w:val="nil"/>
            </w:tcBorders>
            <w:shd w:val="clear" w:color="000000" w:fill="FFFFFF"/>
            <w:noWrap/>
            <w:vAlign w:val="center"/>
            <w:hideMark/>
          </w:tcPr>
          <w:p w14:paraId="7F775387"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MC3E_Ram-Des_79RH</w:t>
            </w:r>
          </w:p>
        </w:tc>
        <w:tc>
          <w:tcPr>
            <w:tcW w:w="432" w:type="dxa"/>
            <w:tcBorders>
              <w:top w:val="nil"/>
              <w:left w:val="dotted" w:sz="4" w:space="0" w:color="auto"/>
              <w:bottom w:val="nil"/>
              <w:right w:val="nil"/>
            </w:tcBorders>
            <w:shd w:val="clear" w:color="000000" w:fill="FFFFFF"/>
            <w:noWrap/>
            <w:vAlign w:val="center"/>
            <w:hideMark/>
          </w:tcPr>
          <w:p w14:paraId="1FCC64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F2F793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B4A1E2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572A8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AACF4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822BE5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7EC3AC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C98198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218D2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D46922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762B9A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17894A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9EACC5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FADF6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C3EF8B6" w14:textId="77777777" w:rsidTr="00E6203F">
        <w:trPr>
          <w:trHeight w:val="20"/>
        </w:trPr>
        <w:tc>
          <w:tcPr>
            <w:tcW w:w="3168" w:type="dxa"/>
            <w:tcBorders>
              <w:top w:val="nil"/>
              <w:left w:val="nil"/>
              <w:bottom w:val="nil"/>
              <w:right w:val="nil"/>
            </w:tcBorders>
            <w:shd w:val="clear" w:color="000000" w:fill="FFFFFF"/>
            <w:noWrap/>
            <w:vAlign w:val="center"/>
            <w:hideMark/>
          </w:tcPr>
          <w:p w14:paraId="54720907"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MC3E_Spi-Des_75RH</w:t>
            </w:r>
          </w:p>
        </w:tc>
        <w:tc>
          <w:tcPr>
            <w:tcW w:w="432" w:type="dxa"/>
            <w:tcBorders>
              <w:top w:val="nil"/>
              <w:left w:val="dotted" w:sz="4" w:space="0" w:color="auto"/>
              <w:bottom w:val="nil"/>
              <w:right w:val="nil"/>
            </w:tcBorders>
            <w:shd w:val="clear" w:color="000000" w:fill="FFFFFF"/>
            <w:noWrap/>
            <w:vAlign w:val="center"/>
            <w:hideMark/>
          </w:tcPr>
          <w:p w14:paraId="35D1392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68B087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ED112B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5C749D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967F39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3F92D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954013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6C0444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3908E7D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5B3AB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8B4152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F9CB0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93B035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7FC7C7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24FCC648" w14:textId="77777777" w:rsidTr="00E6203F">
        <w:trPr>
          <w:trHeight w:val="20"/>
        </w:trPr>
        <w:tc>
          <w:tcPr>
            <w:tcW w:w="3168" w:type="dxa"/>
            <w:tcBorders>
              <w:top w:val="nil"/>
              <w:left w:val="nil"/>
              <w:bottom w:val="nil"/>
              <w:right w:val="nil"/>
            </w:tcBorders>
            <w:shd w:val="clear" w:color="000000" w:fill="FFFFFF"/>
            <w:noWrap/>
            <w:vAlign w:val="center"/>
            <w:hideMark/>
          </w:tcPr>
          <w:p w14:paraId="66D802A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lastRenderedPageBreak/>
              <w:t>GCPEX_Ram-Des_71RH</w:t>
            </w:r>
          </w:p>
        </w:tc>
        <w:tc>
          <w:tcPr>
            <w:tcW w:w="432" w:type="dxa"/>
            <w:tcBorders>
              <w:top w:val="nil"/>
              <w:left w:val="dotted" w:sz="4" w:space="0" w:color="auto"/>
              <w:bottom w:val="nil"/>
              <w:right w:val="nil"/>
            </w:tcBorders>
            <w:shd w:val="clear" w:color="000000" w:fill="FFFFFF"/>
            <w:noWrap/>
            <w:vAlign w:val="center"/>
            <w:hideMark/>
          </w:tcPr>
          <w:p w14:paraId="07EBBFA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A2344F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619FB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DC7697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624BC3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A554B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5346B6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7084A9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4237C3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0605A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B6DDD1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0C8351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BA99CD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4F34DC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9C33FC8" w14:textId="77777777" w:rsidTr="00E6203F">
        <w:trPr>
          <w:trHeight w:val="20"/>
        </w:trPr>
        <w:tc>
          <w:tcPr>
            <w:tcW w:w="3168" w:type="dxa"/>
            <w:tcBorders>
              <w:top w:val="nil"/>
              <w:left w:val="nil"/>
              <w:bottom w:val="single" w:sz="12" w:space="0" w:color="auto"/>
              <w:right w:val="nil"/>
            </w:tcBorders>
            <w:shd w:val="clear" w:color="000000" w:fill="FFFFFF"/>
            <w:noWrap/>
            <w:vAlign w:val="center"/>
            <w:hideMark/>
          </w:tcPr>
          <w:p w14:paraId="104F87F5" w14:textId="1B228BDD"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Des_63RH</w:t>
            </w:r>
          </w:p>
        </w:tc>
        <w:tc>
          <w:tcPr>
            <w:tcW w:w="432" w:type="dxa"/>
            <w:tcBorders>
              <w:top w:val="nil"/>
              <w:left w:val="dotted" w:sz="4" w:space="0" w:color="auto"/>
              <w:bottom w:val="single" w:sz="12" w:space="0" w:color="auto"/>
              <w:right w:val="nil"/>
            </w:tcBorders>
            <w:shd w:val="clear" w:color="000000" w:fill="FFFFFF"/>
            <w:noWrap/>
            <w:vAlign w:val="center"/>
            <w:hideMark/>
          </w:tcPr>
          <w:p w14:paraId="561F86A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127D03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6105526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dotted" w:sz="4" w:space="0" w:color="auto"/>
            </w:tcBorders>
            <w:shd w:val="clear" w:color="000000" w:fill="FFFFFF"/>
            <w:noWrap/>
            <w:vAlign w:val="center"/>
            <w:hideMark/>
          </w:tcPr>
          <w:p w14:paraId="24375D7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7B085C9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0AD5E57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4AD054B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354E54C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single" w:sz="12" w:space="0" w:color="auto"/>
              <w:right w:val="nil"/>
            </w:tcBorders>
            <w:shd w:val="clear" w:color="000000" w:fill="FFFFFF"/>
            <w:noWrap/>
            <w:vAlign w:val="center"/>
            <w:hideMark/>
          </w:tcPr>
          <w:p w14:paraId="1916686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dotted" w:sz="4" w:space="0" w:color="auto"/>
            </w:tcBorders>
            <w:shd w:val="clear" w:color="000000" w:fill="FFFFFF"/>
            <w:noWrap/>
            <w:vAlign w:val="center"/>
            <w:hideMark/>
          </w:tcPr>
          <w:p w14:paraId="0BAEF2C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51A5B10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5C867FB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2EDD6A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7F53B7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bl>
    <w:p w14:paraId="0C518DFA" w14:textId="0A158D99" w:rsidR="00EE577C" w:rsidRPr="00CF0DF4" w:rsidRDefault="001A5C7D" w:rsidP="00EE577C">
      <w:pPr>
        <w:pStyle w:val="Body"/>
        <w:rPr>
          <w:lang w:val="en-US"/>
        </w:rPr>
      </w:pPr>
      <w:r w:rsidRPr="00CF0DF4">
        <w:rPr>
          <w:lang w:val="en-US"/>
        </w:rPr>
        <w:t xml:space="preserve">The most common trend overall is </w:t>
      </w:r>
      <w:r w:rsidRPr="00CF0DF4">
        <w:rPr>
          <w:rFonts w:cs="Times New Roman"/>
          <w:lang w:val="en-US"/>
        </w:rPr>
        <w:t xml:space="preserve">an increase in the small </w:t>
      </w:r>
      <w:r w:rsidR="00781424">
        <w:rPr>
          <w:rFonts w:cs="Times New Roman"/>
          <w:lang w:val="en-US"/>
        </w:rPr>
        <w:t>hydrometeor</w:t>
      </w:r>
      <w:r w:rsidRPr="00CF0DF4">
        <w:rPr>
          <w:rFonts w:cs="Times New Roman"/>
          <w:lang w:val="en-US"/>
        </w:rPr>
        <w:t xml:space="preserve"> area ratio during the transition from above to within the melting layer</w:t>
      </w:r>
      <w:r w:rsidR="00C363E5">
        <w:rPr>
          <w:rFonts w:cs="Times New Roman"/>
          <w:lang w:val="en-US"/>
        </w:rPr>
        <w:t xml:space="preserve"> </w:t>
      </w:r>
      <w:r w:rsidR="0005054F">
        <w:rPr>
          <w:rFonts w:cs="Times New Roman"/>
          <w:lang w:val="en-US"/>
        </w:rPr>
        <w:t>(</w:t>
      </w:r>
      <w:r w:rsidR="0005054F">
        <w:rPr>
          <w:rFonts w:cs="Times New Roman"/>
          <w:lang w:val="en-US"/>
        </w:rPr>
        <w:fldChar w:fldCharType="begin"/>
      </w:r>
      <w:r w:rsidR="0005054F">
        <w:rPr>
          <w:rFonts w:cs="Times New Roman"/>
          <w:lang w:val="en-US"/>
        </w:rPr>
        <w:instrText xml:space="preserve"> REF _Ref107465472 \h </w:instrText>
      </w:r>
      <w:r w:rsidR="0005054F">
        <w:rPr>
          <w:rFonts w:cs="Times New Roman"/>
          <w:lang w:val="en-US"/>
        </w:rPr>
      </w:r>
      <w:r w:rsidR="0005054F">
        <w:rPr>
          <w:rFonts w:cs="Times New Roman"/>
          <w:lang w:val="en-US"/>
        </w:rPr>
        <w:fldChar w:fldCharType="separate"/>
      </w:r>
      <w:r w:rsidR="00DB4BE3" w:rsidRPr="00CF0DF4">
        <w:rPr>
          <w:lang w:val="en-US"/>
        </w:rPr>
        <w:t xml:space="preserve">Table </w:t>
      </w:r>
      <w:r w:rsidR="00DB4BE3">
        <w:rPr>
          <w:noProof/>
          <w:lang w:val="en-US"/>
        </w:rPr>
        <w:t>7</w:t>
      </w:r>
      <w:r w:rsidR="0005054F">
        <w:rPr>
          <w:rFonts w:cs="Times New Roman"/>
          <w:lang w:val="en-US"/>
        </w:rPr>
        <w:fldChar w:fldCharType="end"/>
      </w:r>
      <w:r w:rsidR="0005054F">
        <w:rPr>
          <w:rFonts w:cs="Times New Roman"/>
          <w:lang w:val="en-US"/>
        </w:rPr>
        <w:t>)</w:t>
      </w:r>
      <w:r w:rsidRPr="00CF0DF4">
        <w:rPr>
          <w:rFonts w:cs="Times New Roman"/>
          <w:lang w:val="en-US"/>
        </w:rPr>
        <w:t>. In the single case</w:t>
      </w:r>
      <w:r w:rsidR="00A23841" w:rsidRPr="00CF0DF4">
        <w:rPr>
          <w:rStyle w:val="CommentReference"/>
          <w:rFonts w:eastAsia="NSimSun" w:cs="Times New Roman"/>
          <w:sz w:val="24"/>
          <w:szCs w:val="24"/>
          <w:lang w:val="en-US"/>
        </w:rPr>
        <w:t xml:space="preserve"> (</w:t>
      </w:r>
      <w:r w:rsidR="00A23841" w:rsidRPr="00CF0DF4">
        <w:rPr>
          <w:rFonts w:cs="Times New Roman"/>
          <w:lang w:val="en-US"/>
        </w:rPr>
        <w:t xml:space="preserve">OLYMPEX_Spi-Des_100RHa) </w:t>
      </w:r>
      <w:r w:rsidR="00EE577C" w:rsidRPr="00CF0DF4">
        <w:rPr>
          <w:rFonts w:cs="Times New Roman"/>
          <w:lang w:val="en-US"/>
        </w:rPr>
        <w:t xml:space="preserve">where the area ratio of small </w:t>
      </w:r>
      <w:r w:rsidR="00781424">
        <w:rPr>
          <w:rFonts w:cs="Times New Roman"/>
          <w:lang w:val="en-US"/>
        </w:rPr>
        <w:t>hydrometeors</w:t>
      </w:r>
      <w:r w:rsidR="00EE577C" w:rsidRPr="00CF0DF4">
        <w:rPr>
          <w:rFonts w:cs="Times New Roman"/>
          <w:lang w:val="en-US"/>
        </w:rPr>
        <w:t xml:space="preserve"> decreases, the area ratio measurements are</w:t>
      </w:r>
      <w:r w:rsidR="00EE577C" w:rsidRPr="00CF0DF4">
        <w:rPr>
          <w:lang w:val="en-US"/>
        </w:rPr>
        <w:t xml:space="preserve"> generally lower than other cases</w:t>
      </w:r>
      <w:r w:rsidR="005B4973">
        <w:rPr>
          <w:lang w:val="en-US"/>
        </w:rPr>
        <w:t>, especially below the melting layer</w:t>
      </w:r>
      <w:r w:rsidR="00DD6DCF" w:rsidRPr="00CF0DF4">
        <w:rPr>
          <w:lang w:val="en-US"/>
        </w:rPr>
        <w:t xml:space="preserve"> </w:t>
      </w:r>
      <w:r w:rsidR="00EE577C" w:rsidRPr="00CF0DF4">
        <w:rPr>
          <w:lang w:val="en-US"/>
        </w:rPr>
        <w:t>(</w:t>
      </w:r>
      <w:r w:rsidR="00EE577C" w:rsidRPr="00CF0DF4">
        <w:rPr>
          <w:lang w:val="en-US"/>
        </w:rPr>
        <w:fldChar w:fldCharType="begin"/>
      </w:r>
      <w:r w:rsidR="00EE577C" w:rsidRPr="00CF0DF4">
        <w:rPr>
          <w:lang w:val="en-US"/>
        </w:rPr>
        <w:instrText xml:space="preserve"> REF _Ref105172235 \h </w:instrText>
      </w:r>
      <w:r w:rsidR="00EE577C" w:rsidRPr="00CF0DF4">
        <w:rPr>
          <w:lang w:val="en-US"/>
        </w:rPr>
      </w:r>
      <w:r w:rsidR="00EE577C" w:rsidRPr="00CF0DF4">
        <w:rPr>
          <w:lang w:val="en-US"/>
        </w:rPr>
        <w:fldChar w:fldCharType="separate"/>
      </w:r>
      <w:r w:rsidR="00DB4BE3" w:rsidRPr="00CF0DF4">
        <w:t xml:space="preserve">Figure </w:t>
      </w:r>
      <w:r w:rsidR="00DB4BE3">
        <w:rPr>
          <w:noProof/>
        </w:rPr>
        <w:t>14</w:t>
      </w:r>
      <w:r w:rsidR="00EE577C" w:rsidRPr="00CF0DF4">
        <w:rPr>
          <w:lang w:val="en-US"/>
        </w:rPr>
        <w:fldChar w:fldCharType="end"/>
      </w:r>
      <w:r w:rsidR="00EE577C" w:rsidRPr="00CF0DF4">
        <w:rPr>
          <w:lang w:val="en-US"/>
        </w:rPr>
        <w:t xml:space="preserve">). </w:t>
      </w:r>
      <w:r w:rsidR="00EE577C">
        <w:rPr>
          <w:lang w:val="en-US"/>
        </w:rPr>
        <w:t>Another common trend is that t</w:t>
      </w:r>
      <w:r w:rsidR="00EE577C" w:rsidRPr="00CF0DF4">
        <w:rPr>
          <w:lang w:val="en-US"/>
        </w:rPr>
        <w:t xml:space="preserve">he area ratio of large </w:t>
      </w:r>
      <w:r w:rsidR="00781424">
        <w:rPr>
          <w:lang w:val="en-US"/>
        </w:rPr>
        <w:t>hydrometeors</w:t>
      </w:r>
      <w:r w:rsidR="00EE577C" w:rsidRPr="00CF0DF4">
        <w:rPr>
          <w:lang w:val="en-US"/>
        </w:rPr>
        <w:t xml:space="preserve"> </w:t>
      </w:r>
      <w:r w:rsidR="00EE577C">
        <w:rPr>
          <w:lang w:val="en-US"/>
        </w:rPr>
        <w:t>within</w:t>
      </w:r>
      <w:r w:rsidR="00EE577C" w:rsidRPr="00CF0DF4">
        <w:rPr>
          <w:lang w:val="en-US"/>
        </w:rPr>
        <w:t xml:space="preserve"> the melting layer top increases in twenty-six </w:t>
      </w:r>
      <w:r w:rsidR="00EE577C">
        <w:rPr>
          <w:lang w:val="en-US"/>
        </w:rPr>
        <w:t xml:space="preserve">of thirty-three </w:t>
      </w:r>
      <w:r w:rsidR="00EE577C" w:rsidRPr="00CF0DF4">
        <w:rPr>
          <w:lang w:val="en-US"/>
        </w:rPr>
        <w:t>cases</w:t>
      </w:r>
      <w:r w:rsidR="00EE577C">
        <w:rPr>
          <w:lang w:val="en-US"/>
        </w:rPr>
        <w:t>,</w:t>
      </w:r>
      <w:r w:rsidR="00EE577C" w:rsidRPr="00CF0DF4">
        <w:rPr>
          <w:lang w:val="en-US"/>
        </w:rPr>
        <w:t xml:space="preserve"> </w:t>
      </w:r>
      <w:r w:rsidR="00EE577C">
        <w:rPr>
          <w:lang w:val="en-US"/>
        </w:rPr>
        <w:t xml:space="preserve">does not change </w:t>
      </w:r>
      <w:r w:rsidR="00EE577C" w:rsidRPr="00CF0DF4">
        <w:rPr>
          <w:lang w:val="en-US"/>
        </w:rPr>
        <w:t>in six cases</w:t>
      </w:r>
      <w:r w:rsidR="005C74CE">
        <w:rPr>
          <w:lang w:val="en-US"/>
        </w:rPr>
        <w:t>,</w:t>
      </w:r>
      <w:r w:rsidR="00EE577C">
        <w:rPr>
          <w:lang w:val="en-US"/>
        </w:rPr>
        <w:t xml:space="preserve"> and </w:t>
      </w:r>
      <w:r w:rsidR="00EE577C" w:rsidRPr="00CF0DF4">
        <w:rPr>
          <w:lang w:val="en-US"/>
        </w:rPr>
        <w:t xml:space="preserve">one case </w:t>
      </w:r>
      <w:r w:rsidR="00EE577C">
        <w:rPr>
          <w:lang w:val="en-US"/>
        </w:rPr>
        <w:t>measurements are not available</w:t>
      </w:r>
      <w:r w:rsidR="00B324B8">
        <w:rPr>
          <w:lang w:val="en-US"/>
        </w:rPr>
        <w:t xml:space="preserve"> due to </w:t>
      </w:r>
      <w:r w:rsidR="00C053BB">
        <w:rPr>
          <w:lang w:val="en-US"/>
        </w:rPr>
        <w:t xml:space="preserve">no large </w:t>
      </w:r>
      <w:r w:rsidR="00781424">
        <w:rPr>
          <w:lang w:val="en-US"/>
        </w:rPr>
        <w:t>hydrometeors</w:t>
      </w:r>
      <w:r w:rsidR="00EE577C" w:rsidRPr="00CF0DF4">
        <w:rPr>
          <w:lang w:val="en-US"/>
        </w:rPr>
        <w:t xml:space="preserve">. The area ratio measurements are similarly consistent as </w:t>
      </w:r>
      <w:r w:rsidR="00781424">
        <w:rPr>
          <w:lang w:val="en-US"/>
        </w:rPr>
        <w:t>hydrometeors</w:t>
      </w:r>
      <w:r w:rsidR="00EE577C" w:rsidRPr="00CF0DF4">
        <w:rPr>
          <w:lang w:val="en-US"/>
        </w:rPr>
        <w:t xml:space="preserve"> transition from within the melting layer to below. The area ratio of small </w:t>
      </w:r>
      <w:r w:rsidR="00781424">
        <w:rPr>
          <w:lang w:val="en-US"/>
        </w:rPr>
        <w:t>hydrometeors</w:t>
      </w:r>
      <w:r w:rsidR="00EE577C" w:rsidRPr="00CF0DF4">
        <w:rPr>
          <w:lang w:val="en-US"/>
        </w:rPr>
        <w:t xml:space="preserve"> only increases through the melting layer bottom in two cases, is equal in twenty-seven cases</w:t>
      </w:r>
      <w:r w:rsidR="00EE577C">
        <w:rPr>
          <w:lang w:val="en-US"/>
        </w:rPr>
        <w:t>, and decreases in one case</w:t>
      </w:r>
      <w:r w:rsidR="00EE577C" w:rsidRPr="00CF0DF4">
        <w:rPr>
          <w:lang w:val="en-US"/>
        </w:rPr>
        <w:t xml:space="preserve">. In the single case where the area ratio of small </w:t>
      </w:r>
      <w:r w:rsidR="00781424">
        <w:rPr>
          <w:lang w:val="en-US"/>
        </w:rPr>
        <w:t>hydrometeors</w:t>
      </w:r>
      <w:r w:rsidR="00EE577C" w:rsidRPr="00CF0DF4">
        <w:rPr>
          <w:lang w:val="en-US"/>
        </w:rPr>
        <w:t xml:space="preserve"> decreases, there is a region of much higher </w:t>
      </w:r>
      <w:r w:rsidR="00781424">
        <w:rPr>
          <w:lang w:val="en-US"/>
        </w:rPr>
        <w:t>hydrometeor</w:t>
      </w:r>
      <w:r w:rsidR="00EE577C" w:rsidRPr="00CF0DF4">
        <w:rPr>
          <w:lang w:val="en-US"/>
        </w:rPr>
        <w:t xml:space="preserve"> concentrations </w:t>
      </w:r>
      <w:r w:rsidR="005B4973">
        <w:rPr>
          <w:lang w:val="en-US"/>
        </w:rPr>
        <w:t>that is likely not associated with the melting layer</w:t>
      </w:r>
      <w:r w:rsidR="00EE577C" w:rsidRPr="00CF0DF4">
        <w:rPr>
          <w:lang w:val="en-US"/>
        </w:rPr>
        <w:t xml:space="preserve"> (</w:t>
      </w:r>
      <w:r w:rsidR="00EE577C" w:rsidRPr="00CF0DF4">
        <w:rPr>
          <w:lang w:val="en-US"/>
        </w:rPr>
        <w:fldChar w:fldCharType="begin"/>
      </w:r>
      <w:r w:rsidR="00EE577C" w:rsidRPr="00CF0DF4">
        <w:rPr>
          <w:lang w:val="en-US"/>
        </w:rPr>
        <w:instrText xml:space="preserve"> REF _Ref105740989 \h </w:instrText>
      </w:r>
      <w:r w:rsidR="00EE577C" w:rsidRPr="00CF0DF4">
        <w:rPr>
          <w:lang w:val="en-US"/>
        </w:rPr>
      </w:r>
      <w:r w:rsidR="00EE577C" w:rsidRPr="00CF0DF4">
        <w:rPr>
          <w:lang w:val="en-US"/>
        </w:rPr>
        <w:fldChar w:fldCharType="separate"/>
      </w:r>
      <w:r w:rsidR="00DB4BE3" w:rsidRPr="00CF0DF4">
        <w:t xml:space="preserve">Figure </w:t>
      </w:r>
      <w:r w:rsidR="00DB4BE3">
        <w:rPr>
          <w:noProof/>
        </w:rPr>
        <w:t>19</w:t>
      </w:r>
      <w:r w:rsidR="00EE577C" w:rsidRPr="00CF0DF4">
        <w:rPr>
          <w:lang w:val="en-US"/>
        </w:rPr>
        <w:fldChar w:fldCharType="end"/>
      </w:r>
      <w:r w:rsidR="00EE577C" w:rsidRPr="00CF0DF4">
        <w:rPr>
          <w:lang w:val="en-US"/>
        </w:rPr>
        <w:t xml:space="preserve">). For large </w:t>
      </w:r>
      <w:r w:rsidR="00781424">
        <w:rPr>
          <w:lang w:val="en-US"/>
        </w:rPr>
        <w:t>hydrometeors</w:t>
      </w:r>
      <w:r w:rsidR="00EE577C" w:rsidRPr="00CF0DF4">
        <w:rPr>
          <w:lang w:val="en-US"/>
        </w:rPr>
        <w:t xml:space="preserve"> transitioning from within the melting layer to below, the area ratio increases in seven cases and stays the same in twenty.</w:t>
      </w:r>
    </w:p>
    <w:p w14:paraId="6D692E9F" w14:textId="5610A038" w:rsidR="00EE577C" w:rsidRPr="00CF0DF4" w:rsidRDefault="00EE577C" w:rsidP="00EE577C">
      <w:pPr>
        <w:pStyle w:val="Body"/>
        <w:rPr>
          <w:lang w:val="en-US"/>
        </w:rPr>
      </w:pPr>
      <w:r w:rsidRPr="00CF0DF4">
        <w:rPr>
          <w:lang w:val="en-US"/>
        </w:rPr>
        <w:t xml:space="preserve">Overall, </w:t>
      </w:r>
      <w:r>
        <w:rPr>
          <w:lang w:val="en-US"/>
        </w:rPr>
        <w:t xml:space="preserve">the </w:t>
      </w:r>
      <w:r w:rsidRPr="00CF0DF4">
        <w:rPr>
          <w:lang w:val="en-US"/>
        </w:rPr>
        <w:t xml:space="preserve">area ratio </w:t>
      </w:r>
      <w:r>
        <w:rPr>
          <w:lang w:val="en-US"/>
        </w:rPr>
        <w:t>increase tends to be</w:t>
      </w:r>
      <w:r w:rsidRPr="00CF0DF4">
        <w:rPr>
          <w:lang w:val="en-US"/>
        </w:rPr>
        <w:t xml:space="preserve"> in the upper portion of the </w:t>
      </w:r>
      <w:r>
        <w:rPr>
          <w:lang w:val="en-US"/>
        </w:rPr>
        <w:t>melting layer and is infrequently in the lower portion</w:t>
      </w:r>
      <w:r w:rsidRPr="00CF0DF4">
        <w:rPr>
          <w:lang w:val="en-US"/>
        </w:rPr>
        <w:t xml:space="preserve">. In three of the cases where the ice-bulb temperature and air temperature both equal 0 °C at the melting layer top, the area ratio of small </w:t>
      </w:r>
      <w:r w:rsidR="00781424">
        <w:rPr>
          <w:lang w:val="en-US"/>
        </w:rPr>
        <w:t>hydrometeors</w:t>
      </w:r>
      <w:r w:rsidRPr="00CF0DF4">
        <w:rPr>
          <w:lang w:val="en-US"/>
        </w:rPr>
        <w:t xml:space="preserve"> started to increase a small depth above the melting layer, compared to just one case with low relative humidity where the melting layer top </w:t>
      </w:r>
      <w:r>
        <w:rPr>
          <w:lang w:val="en-US"/>
        </w:rPr>
        <w:t>is</w:t>
      </w:r>
      <w:r w:rsidRPr="00CF0DF4">
        <w:rPr>
          <w:lang w:val="en-US"/>
        </w:rPr>
        <w:t xml:space="preserve"> not at the 0 °C air temperature isotherm. The cause of area ratio starting to increase above the melting layer top is unknown. Speculatively, it’s possible that uncertainties in instrumentation cause the melting layer top to be at</w:t>
      </w:r>
      <w:r w:rsidR="00CF714D">
        <w:rPr>
          <w:lang w:val="en-US"/>
        </w:rPr>
        <w:t xml:space="preserve"> a </w:t>
      </w:r>
      <w:r w:rsidR="0012785A">
        <w:rPr>
          <w:lang w:val="en-US"/>
        </w:rPr>
        <w:t>higher altitude than identified</w:t>
      </w:r>
      <w:r w:rsidRPr="00CF0DF4">
        <w:rPr>
          <w:lang w:val="en-US"/>
        </w:rPr>
        <w:t xml:space="preserve">. Additionally, the area ratio calculations from the SODA2 data processing for the HVPS3 may have led to inaccuracies. Similarly, the HVPS3 and other instruments may have experienced an </w:t>
      </w:r>
      <w:r w:rsidRPr="00CF0DF4">
        <w:rPr>
          <w:lang w:val="en-US"/>
        </w:rPr>
        <w:lastRenderedPageBreak/>
        <w:t xml:space="preserve">uncorrected desync even if that is typically corrected for in the data processing. </w:t>
      </w:r>
      <w:r w:rsidR="00781424">
        <w:rPr>
          <w:lang w:val="en-US"/>
        </w:rPr>
        <w:t>Hydrometeors</w:t>
      </w:r>
      <w:r w:rsidRPr="00CF0DF4">
        <w:rPr>
          <w:lang w:val="en-US"/>
        </w:rPr>
        <w:t xml:space="preserve"> could also have been round, even if frozen precipitation</w:t>
      </w:r>
      <w:r w:rsidR="007E1AE9">
        <w:rPr>
          <w:lang w:val="en-US"/>
        </w:rPr>
        <w:t xml:space="preserve"> due to riming</w:t>
      </w:r>
      <w:r w:rsidRPr="00CF0DF4">
        <w:rPr>
          <w:lang w:val="en-US"/>
        </w:rPr>
        <w:t>; although, this is unlikely because there are increases in area ratio from higher altitudes in each of the four cases.</w:t>
      </w:r>
    </w:p>
    <w:p w14:paraId="772E8850" w14:textId="5753E977" w:rsidR="001A5C7D" w:rsidRPr="00CF0DF4" w:rsidRDefault="001A5C7D" w:rsidP="00EE577C">
      <w:pPr>
        <w:pStyle w:val="Body"/>
        <w:rPr>
          <w:lang w:val="en-US"/>
        </w:rPr>
      </w:pPr>
      <w:r w:rsidRPr="00CF0DF4">
        <w:rPr>
          <w:lang w:val="en-US"/>
        </w:rPr>
        <w:t xml:space="preserve">Relative humidity appears to have little impact on the change in area ratio in the melting layer. The largest impact is on large </w:t>
      </w:r>
      <w:r w:rsidR="00781424">
        <w:rPr>
          <w:lang w:val="en-US"/>
        </w:rPr>
        <w:t>hydrometeors</w:t>
      </w:r>
      <w:r w:rsidRPr="00CF0DF4">
        <w:rPr>
          <w:lang w:val="en-US"/>
        </w:rPr>
        <w:t xml:space="preserve">. From above to within the melting layer, area ratio of large </w:t>
      </w:r>
      <w:r w:rsidR="00781424">
        <w:rPr>
          <w:lang w:val="en-US"/>
        </w:rPr>
        <w:t>hydrometeors</w:t>
      </w:r>
      <w:r w:rsidRPr="00CF0DF4">
        <w:rPr>
          <w:lang w:val="en-US"/>
        </w:rPr>
        <w:t xml:space="preserve"> does not increase as frequently in lower relative humidity cases. In just two of twenty cases with relative humidity 95 percent and above, the area ratio of large </w:t>
      </w:r>
      <w:r w:rsidR="00781424">
        <w:rPr>
          <w:lang w:val="en-US"/>
        </w:rPr>
        <w:t>hydrometeors</w:t>
      </w:r>
      <w:r w:rsidRPr="00CF0DF4">
        <w:rPr>
          <w:lang w:val="en-US"/>
        </w:rPr>
        <w:t xml:space="preserve"> does not change. Conversely, in four of thirteen cases with relative humidity below 95 percent, the area ratio does not change. Similarly, with relative humidity 95 percent and above, the area ratio of large </w:t>
      </w:r>
      <w:r w:rsidR="00781424">
        <w:rPr>
          <w:lang w:val="en-US"/>
        </w:rPr>
        <w:t>hydrometeors</w:t>
      </w:r>
      <w:r w:rsidRPr="00CF0DF4">
        <w:rPr>
          <w:lang w:val="en-US"/>
        </w:rPr>
        <w:t xml:space="preserve"> increases from within the melting layer to below in seven of twenty cases compared to just one of thirteen cases where relative humidity is below 95 percent.</w:t>
      </w:r>
    </w:p>
    <w:p w14:paraId="3B522B42" w14:textId="0C6A34EC" w:rsidR="00F50DD7" w:rsidRPr="00CF0DF4" w:rsidRDefault="00F50DD7" w:rsidP="00F50DD7">
      <w:pPr>
        <w:pStyle w:val="Body"/>
        <w:rPr>
          <w:lang w:val="en-US"/>
        </w:rPr>
      </w:pPr>
      <w:r w:rsidRPr="00CF0DF4">
        <w:rPr>
          <w:lang w:val="en-US"/>
        </w:rPr>
        <w:t>Changes in concentration are less consistent than area ratio</w:t>
      </w:r>
      <w:r>
        <w:rPr>
          <w:lang w:val="en-US"/>
        </w:rPr>
        <w:t xml:space="preserve"> changes; however</w:t>
      </w:r>
      <w:r w:rsidRPr="00CF0DF4">
        <w:rPr>
          <w:lang w:val="en-US"/>
        </w:rPr>
        <w:t xml:space="preserve">, there are </w:t>
      </w:r>
      <w:r>
        <w:rPr>
          <w:lang w:val="en-US"/>
        </w:rPr>
        <w:t>some</w:t>
      </w:r>
      <w:r w:rsidRPr="00CF0DF4">
        <w:rPr>
          <w:lang w:val="en-US"/>
        </w:rPr>
        <w:t xml:space="preserve"> common trends among the cases. In just one case, the concentration of large </w:t>
      </w:r>
      <w:r w:rsidR="00781424">
        <w:rPr>
          <w:lang w:val="en-US"/>
        </w:rPr>
        <w:t>hydrometeors</w:t>
      </w:r>
      <w:r w:rsidRPr="00CF0DF4">
        <w:rPr>
          <w:lang w:val="en-US"/>
        </w:rPr>
        <w:t xml:space="preserve"> increases from above the melting layer to within. Conversely, in seventeen cases the concentration decreases and in fourteen cases the concentration stays the same. </w:t>
      </w:r>
      <w:r>
        <w:rPr>
          <w:lang w:val="en-US"/>
        </w:rPr>
        <w:t xml:space="preserve">The decrease in concentration of large </w:t>
      </w:r>
      <w:r w:rsidR="00781424">
        <w:rPr>
          <w:lang w:val="en-US"/>
        </w:rPr>
        <w:t>hydrometeors</w:t>
      </w:r>
      <w:r>
        <w:rPr>
          <w:lang w:val="en-US"/>
        </w:rPr>
        <w:t xml:space="preserve"> is likely due to </w:t>
      </w:r>
      <w:r w:rsidR="00781424">
        <w:rPr>
          <w:lang w:val="en-US"/>
        </w:rPr>
        <w:t>hydrometeors</w:t>
      </w:r>
      <w:r>
        <w:rPr>
          <w:lang w:val="en-US"/>
        </w:rPr>
        <w:t xml:space="preserve"> becoming smaller during the melting process, shifting the concentration to smaller sizes.</w:t>
      </w:r>
      <w:r w:rsidRPr="00CF0DF4">
        <w:rPr>
          <w:lang w:val="en-US"/>
        </w:rPr>
        <w:t xml:space="preserve"> Additionally, it </w:t>
      </w:r>
      <w:r>
        <w:rPr>
          <w:lang w:val="en-US"/>
        </w:rPr>
        <w:t>is</w:t>
      </w:r>
      <w:r w:rsidRPr="00CF0DF4">
        <w:rPr>
          <w:lang w:val="en-US"/>
        </w:rPr>
        <w:t xml:space="preserve"> expected that the concentration of small </w:t>
      </w:r>
      <w:r w:rsidR="00781424">
        <w:rPr>
          <w:lang w:val="en-US"/>
        </w:rPr>
        <w:t>hydrometeors</w:t>
      </w:r>
      <w:r w:rsidRPr="00CF0DF4">
        <w:rPr>
          <w:lang w:val="en-US"/>
        </w:rPr>
        <w:t xml:space="preserve"> must increase due to conservation of mass. However, from above to within the melting layer, the concentration of small </w:t>
      </w:r>
      <w:r w:rsidR="00781424">
        <w:rPr>
          <w:lang w:val="en-US"/>
        </w:rPr>
        <w:t>hydrometeors</w:t>
      </w:r>
      <w:r w:rsidRPr="00CF0DF4">
        <w:rPr>
          <w:lang w:val="en-US"/>
        </w:rPr>
        <w:t xml:space="preserve"> increases in just five cases, all of which are 94 percent and greater relative humidity, and three of which are saturated. Indeed, the concentration of small </w:t>
      </w:r>
      <w:r w:rsidR="00781424">
        <w:rPr>
          <w:lang w:val="en-US"/>
        </w:rPr>
        <w:t>hydrometeors</w:t>
      </w:r>
      <w:r w:rsidRPr="00CF0DF4">
        <w:rPr>
          <w:lang w:val="en-US"/>
        </w:rPr>
        <w:t xml:space="preserve"> </w:t>
      </w:r>
      <w:r>
        <w:rPr>
          <w:lang w:val="en-US"/>
        </w:rPr>
        <w:t>decreases</w:t>
      </w:r>
      <w:r w:rsidRPr="00CF0DF4">
        <w:rPr>
          <w:lang w:val="en-US"/>
        </w:rPr>
        <w:t xml:space="preserve"> in twenty cases while remaining roughly the same in six cases. It’s possible that the shift in concentration to </w:t>
      </w:r>
      <w:r w:rsidR="00781424">
        <w:rPr>
          <w:lang w:val="en-US"/>
        </w:rPr>
        <w:t>hydrometeors</w:t>
      </w:r>
      <w:r w:rsidRPr="00CF0DF4">
        <w:rPr>
          <w:lang w:val="en-US"/>
        </w:rPr>
        <w:t xml:space="preserve"> smaller than 500 µm </w:t>
      </w:r>
      <w:r>
        <w:rPr>
          <w:lang w:val="en-US"/>
        </w:rPr>
        <w:t xml:space="preserve">is from evaporation in the </w:t>
      </w:r>
      <w:r w:rsidRPr="00CF0DF4">
        <w:rPr>
          <w:lang w:val="en-US"/>
        </w:rPr>
        <w:t>subsaturat</w:t>
      </w:r>
      <w:r>
        <w:rPr>
          <w:lang w:val="en-US"/>
        </w:rPr>
        <w:t>ed air</w:t>
      </w:r>
      <w:r w:rsidRPr="00CF0DF4">
        <w:rPr>
          <w:lang w:val="en-US"/>
        </w:rPr>
        <w:t xml:space="preserve">. </w:t>
      </w:r>
      <w:r>
        <w:rPr>
          <w:lang w:val="en-US"/>
        </w:rPr>
        <w:t>However,</w:t>
      </w:r>
      <w:r w:rsidRPr="00CF0DF4">
        <w:rPr>
          <w:lang w:val="en-US"/>
        </w:rPr>
        <w:t xml:space="preserve"> two of six saturated cases</w:t>
      </w:r>
      <w:r>
        <w:rPr>
          <w:lang w:val="en-US"/>
        </w:rPr>
        <w:t xml:space="preserve"> have</w:t>
      </w:r>
      <w:r w:rsidRPr="00CF0DF4">
        <w:rPr>
          <w:lang w:val="en-US"/>
        </w:rPr>
        <w:t xml:space="preserve"> concentration </w:t>
      </w:r>
      <w:r w:rsidRPr="00CF0DF4">
        <w:rPr>
          <w:lang w:val="en-US"/>
        </w:rPr>
        <w:lastRenderedPageBreak/>
        <w:t xml:space="preserve">of small </w:t>
      </w:r>
      <w:r w:rsidR="00781424">
        <w:rPr>
          <w:lang w:val="en-US"/>
        </w:rPr>
        <w:t>hydrometeors</w:t>
      </w:r>
      <w:r w:rsidRPr="00CF0DF4">
        <w:rPr>
          <w:lang w:val="en-US"/>
        </w:rPr>
        <w:t xml:space="preserve"> decrease from above to within the melting layer. </w:t>
      </w:r>
      <w:r w:rsidRPr="00CF0DF4">
        <w:rPr>
          <w:lang w:val="en-US"/>
        </w:rPr>
        <w:fldChar w:fldCharType="begin"/>
      </w:r>
      <w:r w:rsidRPr="00CF0DF4">
        <w:rPr>
          <w:lang w:val="en-US"/>
        </w:rPr>
        <w:instrText xml:space="preserve"> ADDIN ZOTERO_ITEM CSL_CITATION {"citationID":"v3TrwIbI","properties":{"formattedCitation":"(Heymsfield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found enhanced aggregation at the top of the melting layer, which explains a decrease in concentration of small </w:t>
      </w:r>
      <w:r w:rsidR="00781424">
        <w:rPr>
          <w:lang w:val="en-US"/>
        </w:rPr>
        <w:t>hydrometeors</w:t>
      </w:r>
      <w:r w:rsidRPr="00CF0DF4">
        <w:rPr>
          <w:lang w:val="en-US"/>
        </w:rPr>
        <w:t xml:space="preserve">. However, with enhanced aggregation there </w:t>
      </w:r>
      <w:r>
        <w:rPr>
          <w:lang w:val="en-US"/>
        </w:rPr>
        <w:t>is</w:t>
      </w:r>
      <w:r w:rsidRPr="00CF0DF4">
        <w:rPr>
          <w:lang w:val="en-US"/>
        </w:rPr>
        <w:t xml:space="preserve"> an increase in concentration of large </w:t>
      </w:r>
      <w:r w:rsidR="00781424">
        <w:rPr>
          <w:lang w:val="en-US"/>
        </w:rPr>
        <w:t>hydrometeors</w:t>
      </w:r>
      <w:r w:rsidRPr="00CF0DF4">
        <w:rPr>
          <w:lang w:val="en-US"/>
        </w:rPr>
        <w:t xml:space="preserve">, increase in maximum diameter, and a decrease in both the intercept parameter and slope parameter from the exponential fit to the size distribution, which does not consistently occur in the cases where concentration of small </w:t>
      </w:r>
      <w:r w:rsidR="00781424">
        <w:rPr>
          <w:lang w:val="en-US"/>
        </w:rPr>
        <w:t>hydrometeors</w:t>
      </w:r>
      <w:r w:rsidRPr="00CF0DF4">
        <w:rPr>
          <w:lang w:val="en-US"/>
        </w:rPr>
        <w:t xml:space="preserve"> decreases from above to within the melting layer. The inconsistency between these cases and results of </w:t>
      </w:r>
      <w:r w:rsidRPr="00CF0DF4">
        <w:rPr>
          <w:lang w:val="en-US"/>
        </w:rPr>
        <w:fldChar w:fldCharType="begin"/>
      </w:r>
      <w:r>
        <w:rPr>
          <w:lang w:val="en-US"/>
        </w:rPr>
        <w:instrText xml:space="preserve"> ADDIN ZOTERO_ITEM CSL_CITATION {"citationID":"Um6YVOId","properties":{"formattedCitation":"(Heymsfield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may be partially explained by their inclusion of a small </w:t>
      </w:r>
      <w:r w:rsidR="00781424">
        <w:rPr>
          <w:lang w:val="en-US"/>
        </w:rPr>
        <w:t>hydrometeor</w:t>
      </w:r>
      <w:r w:rsidRPr="00CF0DF4">
        <w:rPr>
          <w:lang w:val="en-US"/>
        </w:rPr>
        <w:t xml:space="preserve"> imaging probe.</w:t>
      </w:r>
    </w:p>
    <w:p w14:paraId="5A524FA0" w14:textId="1997509D" w:rsidR="00F50DD7" w:rsidRPr="00CF0DF4" w:rsidRDefault="00F50DD7" w:rsidP="00F50DD7">
      <w:pPr>
        <w:pStyle w:val="Body"/>
        <w:rPr>
          <w:lang w:val="en-US"/>
        </w:rPr>
      </w:pPr>
      <w:r w:rsidRPr="00CF0DF4">
        <w:rPr>
          <w:lang w:val="en-US"/>
        </w:rPr>
        <w:t xml:space="preserve">Like area ratio, </w:t>
      </w:r>
      <w:r w:rsidR="00781424">
        <w:rPr>
          <w:lang w:val="en-US"/>
        </w:rPr>
        <w:t>hydrometeor</w:t>
      </w:r>
      <w:r w:rsidRPr="00CF0DF4">
        <w:rPr>
          <w:lang w:val="en-US"/>
        </w:rPr>
        <w:t xml:space="preserve"> concentration is mostly impacted during the early phases of melting as </w:t>
      </w:r>
      <w:r w:rsidR="00781424">
        <w:rPr>
          <w:lang w:val="en-US"/>
        </w:rPr>
        <w:t>hydrometeors</w:t>
      </w:r>
      <w:r w:rsidRPr="00CF0DF4">
        <w:rPr>
          <w:lang w:val="en-US"/>
        </w:rPr>
        <w:t xml:space="preserve"> transition from above to within the melting layer. From within to below the melting layer, the concentration of large </w:t>
      </w:r>
      <w:r w:rsidR="00781424">
        <w:rPr>
          <w:lang w:val="en-US"/>
        </w:rPr>
        <w:t>hydrometeors</w:t>
      </w:r>
      <w:r w:rsidRPr="00CF0DF4">
        <w:rPr>
          <w:lang w:val="en-US"/>
        </w:rPr>
        <w:t xml:space="preserve"> decreases in four cases and increases in just one case. There appears to be no relation between the change in </w:t>
      </w:r>
      <w:r w:rsidR="00781424">
        <w:rPr>
          <w:lang w:val="en-US"/>
        </w:rPr>
        <w:t>hydrometeor</w:t>
      </w:r>
      <w:r>
        <w:rPr>
          <w:lang w:val="en-US"/>
        </w:rPr>
        <w:t xml:space="preserve"> </w:t>
      </w:r>
      <w:r w:rsidRPr="00CF0DF4">
        <w:rPr>
          <w:lang w:val="en-US"/>
        </w:rPr>
        <w:t xml:space="preserve">concentration through the melting layer top and the decrease in concentration of large </w:t>
      </w:r>
      <w:r w:rsidR="00781424">
        <w:rPr>
          <w:lang w:val="en-US"/>
        </w:rPr>
        <w:t>hydrometeors</w:t>
      </w:r>
      <w:r w:rsidRPr="00CF0DF4">
        <w:rPr>
          <w:lang w:val="en-US"/>
        </w:rPr>
        <w:t xml:space="preserve"> through the</w:t>
      </w:r>
      <w:r>
        <w:rPr>
          <w:lang w:val="en-US"/>
        </w:rPr>
        <w:t xml:space="preserve"> melting layer</w:t>
      </w:r>
      <w:r w:rsidRPr="00CF0DF4">
        <w:rPr>
          <w:lang w:val="en-US"/>
        </w:rPr>
        <w:t xml:space="preserve"> bottom. The change in concentration of small </w:t>
      </w:r>
      <w:r w:rsidR="00781424">
        <w:rPr>
          <w:lang w:val="en-US"/>
        </w:rPr>
        <w:t>hydrometeors</w:t>
      </w:r>
      <w:r w:rsidRPr="00CF0DF4">
        <w:rPr>
          <w:lang w:val="en-US"/>
        </w:rPr>
        <w:t xml:space="preserve"> from within to below the melting layer is less consistent than large </w:t>
      </w:r>
      <w:r w:rsidR="00781424">
        <w:rPr>
          <w:lang w:val="en-US"/>
        </w:rPr>
        <w:t>hydrometeor</w:t>
      </w:r>
      <w:r>
        <w:rPr>
          <w:lang w:val="en-US"/>
        </w:rPr>
        <w:t xml:space="preserve"> change</w:t>
      </w:r>
      <w:r w:rsidRPr="00CF0DF4">
        <w:rPr>
          <w:lang w:val="en-US"/>
        </w:rPr>
        <w:t xml:space="preserve">s. The concentration decreases in five cases compared to increasing in three cases and equal in twenty-two cases. Relative humidity impacts </w:t>
      </w:r>
      <w:r w:rsidR="00781424">
        <w:rPr>
          <w:lang w:val="en-US"/>
        </w:rPr>
        <w:t>hydrometeor</w:t>
      </w:r>
      <w:r w:rsidRPr="00CF0DF4">
        <w:rPr>
          <w:lang w:val="en-US"/>
        </w:rPr>
        <w:t xml:space="preserve"> concentration trends in the melting layer. Below 94 percent relative humidity, the concentration of all </w:t>
      </w:r>
      <w:r w:rsidR="00781424">
        <w:rPr>
          <w:lang w:val="en-US"/>
        </w:rPr>
        <w:t>hydrometeors</w:t>
      </w:r>
      <w:r w:rsidRPr="00CF0DF4">
        <w:rPr>
          <w:lang w:val="en-US"/>
        </w:rPr>
        <w:t xml:space="preserve"> decreases or stays the same, whereas above 94 percent, the concentration changes vary. In these low relative humidity conditions, there is a loss of </w:t>
      </w:r>
      <w:r w:rsidR="00781424">
        <w:rPr>
          <w:lang w:val="en-US"/>
        </w:rPr>
        <w:t>hydrometeor</w:t>
      </w:r>
      <w:r w:rsidRPr="00CF0DF4">
        <w:rPr>
          <w:lang w:val="en-US"/>
        </w:rPr>
        <w:t xml:space="preserve"> mass due to </w:t>
      </w:r>
      <w:r w:rsidR="000116BD">
        <w:rPr>
          <w:lang w:val="en-US"/>
        </w:rPr>
        <w:t>sublimation and evaporation</w:t>
      </w:r>
      <w:r w:rsidRPr="00CF0DF4">
        <w:rPr>
          <w:lang w:val="en-US"/>
        </w:rPr>
        <w:t xml:space="preserve"> in the melting layer resulting in lower concentrations.</w:t>
      </w:r>
    </w:p>
    <w:p w14:paraId="762E4AB9" w14:textId="4A452F3F" w:rsidR="001A5C7D" w:rsidRDefault="001A5C7D" w:rsidP="001A5C7D">
      <w:pPr>
        <w:pStyle w:val="Body"/>
        <w:rPr>
          <w:lang w:val="en-US"/>
        </w:rPr>
      </w:pPr>
      <w:r w:rsidRPr="00CF0DF4">
        <w:rPr>
          <w:lang w:val="en-US"/>
        </w:rPr>
        <w:t xml:space="preserve">The maximum diameter of </w:t>
      </w:r>
      <w:r w:rsidR="00781424">
        <w:rPr>
          <w:lang w:val="en-US"/>
        </w:rPr>
        <w:t>hydrometeors</w:t>
      </w:r>
      <w:r w:rsidRPr="00CF0DF4">
        <w:rPr>
          <w:lang w:val="en-US"/>
        </w:rPr>
        <w:t xml:space="preserve"> is impacted by melting as </w:t>
      </w:r>
      <w:r w:rsidR="00781424">
        <w:rPr>
          <w:lang w:val="en-US"/>
        </w:rPr>
        <w:t>hydrometeor</w:t>
      </w:r>
      <w:r w:rsidRPr="00CF0DF4">
        <w:rPr>
          <w:lang w:val="en-US"/>
        </w:rPr>
        <w:t xml:space="preserve"> size decreases from above to below the melting layer. During the transition from above to within the </w:t>
      </w:r>
      <w:r w:rsidRPr="00CF0DF4">
        <w:rPr>
          <w:lang w:val="en-US"/>
        </w:rPr>
        <w:lastRenderedPageBreak/>
        <w:t>melting layer, the maximum diameter has no change in five cases, increases in eight, and decreases in twenty cases. Thus, in most cases the maximum diameter does not increase in the melting layer, suggesting there is no enhanced aggregation. The maximum diameter only increases in the subsaturated cases and is more frequent with lower relative humidity cases, suggesting that relative humidity may play a role in the aggregation of melting hydrometeors. From within the melting layer to below, the maximum diameter increases in just two cases, otherwise decreasing in seventeen cases and staying the same in twelve cases</w:t>
      </w:r>
      <w:r w:rsidR="006323CB">
        <w:rPr>
          <w:lang w:val="en-US"/>
        </w:rPr>
        <w:t>.</w:t>
      </w:r>
      <w:r w:rsidR="00A27FEE">
        <w:rPr>
          <w:lang w:val="en-US"/>
        </w:rPr>
        <w:t xml:space="preserve"> Overall, from above to below the melting layer, the maximum diameter decreases in thirty cases.</w:t>
      </w:r>
    </w:p>
    <w:p w14:paraId="40D1A21F" w14:textId="44B4FE22" w:rsidR="00755442" w:rsidRDefault="00DC4D37" w:rsidP="001A5C7D">
      <w:pPr>
        <w:pStyle w:val="Body"/>
        <w:rPr>
          <w:lang w:val="en-US"/>
        </w:rPr>
      </w:pPr>
      <w:r>
        <w:rPr>
          <w:lang w:val="en-US"/>
        </w:rPr>
        <w:t xml:space="preserve">The exponential fit </w:t>
      </w:r>
      <w:r w:rsidR="00FB3146">
        <w:rPr>
          <w:lang w:val="en-US"/>
        </w:rPr>
        <w:t xml:space="preserve">of the HVPS3 </w:t>
      </w:r>
      <w:r w:rsidR="00E10524">
        <w:rPr>
          <w:lang w:val="en-US"/>
        </w:rPr>
        <w:t>size distribution has varying results</w:t>
      </w:r>
      <w:r w:rsidR="00F256C6">
        <w:rPr>
          <w:lang w:val="en-US"/>
        </w:rPr>
        <w:t xml:space="preserve"> due to</w:t>
      </w:r>
      <w:r w:rsidR="00E10524">
        <w:rPr>
          <w:lang w:val="en-US"/>
        </w:rPr>
        <w:t xml:space="preserve"> </w:t>
      </w:r>
      <w:r w:rsidR="00F256C6">
        <w:rPr>
          <w:lang w:val="en-US"/>
        </w:rPr>
        <w:t>t</w:t>
      </w:r>
      <w:r w:rsidR="00E10524">
        <w:rPr>
          <w:lang w:val="en-US"/>
        </w:rPr>
        <w:t>he slope and intercept parameter hav</w:t>
      </w:r>
      <w:r w:rsidR="00F256C6">
        <w:rPr>
          <w:lang w:val="en-US"/>
        </w:rPr>
        <w:t>ing</w:t>
      </w:r>
      <w:r w:rsidR="00E10524">
        <w:rPr>
          <w:lang w:val="en-US"/>
        </w:rPr>
        <w:t xml:space="preserve"> </w:t>
      </w:r>
      <w:r w:rsidR="00FD35E4">
        <w:rPr>
          <w:lang w:val="en-US"/>
        </w:rPr>
        <w:t xml:space="preserve">a large dependence on the concentration of </w:t>
      </w:r>
      <w:r w:rsidR="00781424">
        <w:rPr>
          <w:lang w:val="en-US"/>
        </w:rPr>
        <w:t>hydrometeors</w:t>
      </w:r>
      <w:r w:rsidR="00FD35E4">
        <w:rPr>
          <w:lang w:val="en-US"/>
        </w:rPr>
        <w:t>.</w:t>
      </w:r>
      <w:r w:rsidR="00FD35E4" w:rsidRPr="00FD35E4">
        <w:rPr>
          <w:lang w:val="en-US"/>
        </w:rPr>
        <w:t xml:space="preserve"> </w:t>
      </w:r>
      <w:r w:rsidR="00FD35E4" w:rsidRPr="00CF0DF4">
        <w:rPr>
          <w:lang w:val="en-US"/>
        </w:rPr>
        <w:t>As</w:t>
      </w:r>
      <w:r w:rsidR="00FD35E4">
        <w:rPr>
          <w:lang w:val="en-US"/>
        </w:rPr>
        <w:t xml:space="preserve"> the</w:t>
      </w:r>
      <w:r w:rsidR="00FD35E4" w:rsidRPr="00CF0DF4">
        <w:rPr>
          <w:lang w:val="en-US"/>
        </w:rPr>
        <w:t xml:space="preserve"> concentration of small </w:t>
      </w:r>
      <w:r w:rsidR="00781424">
        <w:rPr>
          <w:lang w:val="en-US"/>
        </w:rPr>
        <w:t>hydrometeors</w:t>
      </w:r>
      <w:r w:rsidR="00FD35E4" w:rsidRPr="00CF0DF4">
        <w:rPr>
          <w:lang w:val="en-US"/>
        </w:rPr>
        <w:t xml:space="preserve"> increases, both parameters</w:t>
      </w:r>
      <w:r w:rsidR="00FD35E4">
        <w:rPr>
          <w:lang w:val="en-US"/>
        </w:rPr>
        <w:t xml:space="preserve"> also</w:t>
      </w:r>
      <w:r w:rsidR="00FD35E4" w:rsidRPr="00CF0DF4">
        <w:rPr>
          <w:lang w:val="en-US"/>
        </w:rPr>
        <w:t xml:space="preserve"> increase. A larger maximum diameter,</w:t>
      </w:r>
      <w:r w:rsidR="00FD35E4">
        <w:rPr>
          <w:lang w:val="en-US"/>
        </w:rPr>
        <w:t xml:space="preserve"> which often occurs above the melting layer or is a result of </w:t>
      </w:r>
      <w:r w:rsidR="00FD35E4" w:rsidRPr="00CF0DF4">
        <w:rPr>
          <w:lang w:val="en-US"/>
        </w:rPr>
        <w:t>enhanced aggregation due to melting, causes a smaller slope parameter and slightly smaller intercept parameter. Conversely, at the melting layer bottom where maximum diameter is reduced</w:t>
      </w:r>
      <w:r w:rsidR="000A4B97">
        <w:rPr>
          <w:lang w:val="en-US"/>
        </w:rPr>
        <w:t xml:space="preserve"> in all but one case</w:t>
      </w:r>
      <w:r w:rsidR="00FD35E4" w:rsidRPr="00CF0DF4">
        <w:rPr>
          <w:lang w:val="en-US"/>
        </w:rPr>
        <w:t>, the slope and intercept parameter increase.</w:t>
      </w:r>
      <w:r w:rsidR="000770C9">
        <w:rPr>
          <w:lang w:val="en-US"/>
        </w:rPr>
        <w:t xml:space="preserve"> The most common trend is an increase in the slope parameter </w:t>
      </w:r>
      <w:r w:rsidR="006B23AA">
        <w:rPr>
          <w:lang w:val="en-US"/>
        </w:rPr>
        <w:t xml:space="preserve">from above to within the melting layer </w:t>
      </w:r>
      <w:r w:rsidR="000770C9">
        <w:rPr>
          <w:lang w:val="en-US"/>
        </w:rPr>
        <w:t>in twenty seven cases</w:t>
      </w:r>
      <w:r w:rsidR="00352F2D">
        <w:rPr>
          <w:lang w:val="en-US"/>
        </w:rPr>
        <w:t xml:space="preserve">, which contrasts results from </w:t>
      </w:r>
      <w:r w:rsidR="004D7513">
        <w:rPr>
          <w:lang w:val="en-US"/>
        </w:rPr>
        <w:fldChar w:fldCharType="begin"/>
      </w:r>
      <w:r w:rsidR="00E5451A">
        <w:rPr>
          <w:lang w:val="en-US"/>
        </w:rPr>
        <w:instrText xml:space="preserve"> ADDIN ZOTERO_ITEM CSL_CITATION {"citationID":"BL4jSIfv","properties":{"formattedCitation":"(Stewart et al. 1984; Heymsfield et al. 2015)","plainCitation":"(Stewart et al. 1984; Heymsfield et al. 2015)","dontUpdate":true,"noteIndex":0},"citationItems":[{"id":63,"uris":["http://zotero.org/users/8639581/items/VPXY8BKM"],"itemData":{"id":63,"type":"article-journal","abstract":"Abstract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E5451A">
        <w:rPr>
          <w:rFonts w:ascii="Cambria Math" w:hAnsi="Cambria Math" w:cs="Cambria Math"/>
          <w:lang w:val="en-US"/>
        </w:rPr>
        <w:instrText>∼</w:instrText>
      </w:r>
      <w:r w:rsidR="00E5451A">
        <w:rPr>
          <w:lang w:val="en-US"/>
        </w:rPr>
        <w:instrText>200 m thick existed at 0</w:instrText>
      </w:r>
      <w:r w:rsidR="00E5451A">
        <w:rPr>
          <w:rFonts w:cs="Times New Roman"/>
          <w:lang w:val="en-US"/>
        </w:rPr>
        <w:instrText>°</w:instrText>
      </w:r>
      <w:r w:rsidR="00E5451A">
        <w:rPr>
          <w:lang w:val="en-US"/>
        </w:rPr>
        <w:instrText xml:space="preserve">C, and radar bright bands up to 36 dB(Ze) were measured. The largest concentrations of ice particles occurred near </w:instrText>
      </w:r>
      <w:r w:rsidR="00E5451A">
        <w:rPr>
          <w:rFonts w:cs="Times New Roman"/>
          <w:lang w:val="en-US"/>
        </w:rPr>
        <w:instrText>−</w:instrText>
      </w:r>
      <w:r w:rsidR="00E5451A">
        <w:rPr>
          <w:lang w:val="en-US"/>
        </w:rPr>
        <w:instrText>5</w:instrText>
      </w:r>
      <w:r w:rsidR="00E5451A">
        <w:rPr>
          <w:rFonts w:cs="Times New Roman"/>
          <w:lang w:val="en-US"/>
        </w:rPr>
        <w:instrText>°</w:instrText>
      </w:r>
      <w:r w:rsidR="00E5451A">
        <w:rPr>
          <w:lang w:val="en-US"/>
        </w:rPr>
        <w:instrText xml:space="preserve">C and snowflakes melted by </w:instrText>
      </w:r>
      <w:r w:rsidR="00E5451A">
        <w:rPr>
          <w:rFonts w:ascii="Cambria Math" w:hAnsi="Cambria Math" w:cs="Cambria Math"/>
          <w:lang w:val="en-US"/>
        </w:rPr>
        <w:instrText>∼</w:instrText>
      </w:r>
      <w:r w:rsidR="00E5451A">
        <w:rPr>
          <w:lang w:val="en-US"/>
        </w:rPr>
        <w:instrText>2</w:instrText>
      </w:r>
      <w:r w:rsidR="00E5451A">
        <w:rPr>
          <w:rFonts w:cs="Times New Roman"/>
          <w:lang w:val="en-US"/>
        </w:rPr>
        <w:instrText>°</w:instrText>
      </w:r>
      <w:r w:rsidR="00E5451A">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004D7513">
        <w:rPr>
          <w:lang w:val="en-US"/>
        </w:rPr>
        <w:fldChar w:fldCharType="separate"/>
      </w:r>
      <w:r w:rsidR="004D7513" w:rsidRPr="004D7513">
        <w:rPr>
          <w:rFonts w:cs="Times New Roman"/>
        </w:rPr>
        <w:t xml:space="preserve">Heymsfield et al. </w:t>
      </w:r>
      <w:r w:rsidR="00C12A6C">
        <w:rPr>
          <w:rFonts w:cs="Times New Roman"/>
        </w:rPr>
        <w:t>(2</w:t>
      </w:r>
      <w:r w:rsidR="004D7513" w:rsidRPr="004D7513">
        <w:rPr>
          <w:rFonts w:cs="Times New Roman"/>
        </w:rPr>
        <w:t>015)</w:t>
      </w:r>
      <w:r w:rsidR="004D7513">
        <w:rPr>
          <w:lang w:val="en-US"/>
        </w:rPr>
        <w:fldChar w:fldCharType="end"/>
      </w:r>
      <w:r w:rsidR="00C12A6C">
        <w:rPr>
          <w:lang w:val="en-US"/>
        </w:rPr>
        <w:t xml:space="preserve"> </w:t>
      </w:r>
      <w:r w:rsidR="003D31F7">
        <w:rPr>
          <w:lang w:val="en-US"/>
        </w:rPr>
        <w:t xml:space="preserve">where </w:t>
      </w:r>
      <w:r w:rsidR="00E566B4">
        <w:rPr>
          <w:lang w:val="en-US"/>
        </w:rPr>
        <w:t>the slope parameter</w:t>
      </w:r>
      <w:r w:rsidR="00E5519D">
        <w:rPr>
          <w:lang w:val="en-US"/>
        </w:rPr>
        <w:t xml:space="preserve"> decreased through the melting layer</w:t>
      </w:r>
      <w:r w:rsidR="000A6496">
        <w:rPr>
          <w:lang w:val="en-US"/>
        </w:rPr>
        <w:t>,</w:t>
      </w:r>
      <w:r w:rsidR="00E566B4">
        <w:rPr>
          <w:lang w:val="en-US"/>
        </w:rPr>
        <w:t xml:space="preserve"> </w:t>
      </w:r>
      <w:r w:rsidR="00EB21A2">
        <w:rPr>
          <w:lang w:val="en-US"/>
        </w:rPr>
        <w:t xml:space="preserve">but matches findings from </w:t>
      </w:r>
      <w:r w:rsidR="00EB21A2">
        <w:rPr>
          <w:lang w:val="en-US"/>
        </w:rPr>
        <w:fldChar w:fldCharType="begin"/>
      </w:r>
      <w:r w:rsidR="00E5451A">
        <w:rPr>
          <w:lang w:val="en-US"/>
        </w:rPr>
        <w:instrText xml:space="preserve"> ADDIN ZOTERO_ITEM CSL_CITATION {"citationID":"GashyANr","properties":{"formattedCitation":"(Stewart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E5451A">
        <w:rPr>
          <w:rFonts w:ascii="Cambria Math" w:hAnsi="Cambria Math" w:cs="Cambria Math"/>
          <w:lang w:val="en-US"/>
        </w:rPr>
        <w:instrText>∼</w:instrText>
      </w:r>
      <w:r w:rsidR="00E5451A">
        <w:rPr>
          <w:lang w:val="en-US"/>
        </w:rPr>
        <w:instrText xml:space="preserve">200 m thick existed at 0°C, and radar bright bands up to 36 dB(Ze) were measured. The largest concentrations of ice particles occurred near −5°C and snowflakes melted by </w:instrText>
      </w:r>
      <w:r w:rsidR="00E5451A">
        <w:rPr>
          <w:rFonts w:ascii="Cambria Math" w:hAnsi="Cambria Math" w:cs="Cambria Math"/>
          <w:lang w:val="en-US"/>
        </w:rPr>
        <w:instrText>∼</w:instrText>
      </w:r>
      <w:r w:rsidR="00E5451A">
        <w:rPr>
          <w:lang w:val="en-US"/>
        </w:rPr>
        <w:instrText>2</w:instrText>
      </w:r>
      <w:r w:rsidR="00E5451A">
        <w:rPr>
          <w:rFonts w:cs="Times New Roman"/>
          <w:lang w:val="en-US"/>
        </w:rPr>
        <w:instrText>°</w:instrText>
      </w:r>
      <w:r w:rsidR="00E5451A">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00EB21A2">
        <w:rPr>
          <w:lang w:val="en-US"/>
        </w:rPr>
        <w:fldChar w:fldCharType="separate"/>
      </w:r>
      <w:r w:rsidR="00EB21A2" w:rsidRPr="00EB21A2">
        <w:rPr>
          <w:rFonts w:cs="Times New Roman"/>
        </w:rPr>
        <w:t xml:space="preserve">Stewart et al. </w:t>
      </w:r>
      <w:r w:rsidR="003D31F7">
        <w:rPr>
          <w:rFonts w:cs="Times New Roman"/>
        </w:rPr>
        <w:t>(</w:t>
      </w:r>
      <w:r w:rsidR="00EB21A2" w:rsidRPr="00EB21A2">
        <w:rPr>
          <w:rFonts w:cs="Times New Roman"/>
        </w:rPr>
        <w:t>1984)</w:t>
      </w:r>
      <w:r w:rsidR="00EB21A2">
        <w:rPr>
          <w:lang w:val="en-US"/>
        </w:rPr>
        <w:fldChar w:fldCharType="end"/>
      </w:r>
      <w:r w:rsidR="003D31F7">
        <w:rPr>
          <w:lang w:val="en-US"/>
        </w:rPr>
        <w:t xml:space="preserve"> </w:t>
      </w:r>
      <w:r w:rsidR="00C12A6C">
        <w:rPr>
          <w:lang w:val="en-US"/>
        </w:rPr>
        <w:t xml:space="preserve">where </w:t>
      </w:r>
      <w:r w:rsidR="00DC5896">
        <w:rPr>
          <w:lang w:val="en-US"/>
        </w:rPr>
        <w:t xml:space="preserve">the slope parameter </w:t>
      </w:r>
      <w:r w:rsidR="009E1390">
        <w:rPr>
          <w:lang w:val="en-US"/>
        </w:rPr>
        <w:t xml:space="preserve">only </w:t>
      </w:r>
      <w:r w:rsidR="00DC5896">
        <w:rPr>
          <w:lang w:val="en-US"/>
        </w:rPr>
        <w:t>decreased</w:t>
      </w:r>
      <w:r w:rsidR="003D31F7">
        <w:rPr>
          <w:lang w:val="en-US"/>
        </w:rPr>
        <w:t xml:space="preserve"> until melting began.</w:t>
      </w:r>
      <w:r w:rsidR="002D5895">
        <w:rPr>
          <w:lang w:val="en-US"/>
        </w:rPr>
        <w:t xml:space="preserve"> </w:t>
      </w:r>
      <w:r w:rsidR="006D6029">
        <w:rPr>
          <w:lang w:val="en-US"/>
        </w:rPr>
        <w:t>Similarly</w:t>
      </w:r>
      <w:r w:rsidR="002D5895">
        <w:rPr>
          <w:lang w:val="en-US"/>
        </w:rPr>
        <w:t xml:space="preserve">, the intercept parameter increases </w:t>
      </w:r>
      <w:r w:rsidR="004321E4">
        <w:rPr>
          <w:lang w:val="en-US"/>
        </w:rPr>
        <w:t>from above to within the melting layer in seventeen cases compared to staying the same in five cases and decreasing in eight cases.</w:t>
      </w:r>
      <w:r w:rsidR="00997619">
        <w:rPr>
          <w:lang w:val="en-US"/>
        </w:rPr>
        <w:t xml:space="preserve"> In all seventeen cases where the intercept parameter increases, the slope parameter also increases. </w:t>
      </w:r>
      <w:r w:rsidR="00D8290A">
        <w:rPr>
          <w:lang w:val="en-US"/>
        </w:rPr>
        <w:t>However, the slope parameter also increases in six of the eight cases where the intercept parameter decrease</w:t>
      </w:r>
      <w:r w:rsidR="00D525BD">
        <w:rPr>
          <w:lang w:val="en-US"/>
        </w:rPr>
        <w:t>s</w:t>
      </w:r>
      <w:r w:rsidR="00D8290A">
        <w:rPr>
          <w:lang w:val="en-US"/>
        </w:rPr>
        <w:t>.</w:t>
      </w:r>
    </w:p>
    <w:p w14:paraId="469B876F" w14:textId="1A39BDC8" w:rsidR="006323CB" w:rsidRDefault="00216C29" w:rsidP="00DB190B">
      <w:pPr>
        <w:pStyle w:val="Body"/>
        <w:rPr>
          <w:rFonts w:eastAsia="Times New Roman" w:cs="Times New Roman"/>
          <w:lang w:val="en-US"/>
        </w:rPr>
      </w:pPr>
      <w:r>
        <w:rPr>
          <w:lang w:val="en-US"/>
        </w:rPr>
        <w:lastRenderedPageBreak/>
        <w:t>The changes in the exponential fit parameters from within the melting layer to below are much more varied</w:t>
      </w:r>
      <w:r w:rsidR="00656CC8">
        <w:rPr>
          <w:lang w:val="en-US"/>
        </w:rPr>
        <w:t>.</w:t>
      </w:r>
      <w:r w:rsidR="006663FA">
        <w:rPr>
          <w:lang w:val="en-US"/>
        </w:rPr>
        <w:t xml:space="preserve"> The parameters experience an increase, decrease, and stay the same each in approximately a third of the cases.</w:t>
      </w:r>
      <w:r w:rsidR="00A47F17">
        <w:rPr>
          <w:lang w:val="en-US"/>
        </w:rPr>
        <w:t xml:space="preserve"> All three trends occur i</w:t>
      </w:r>
      <w:r w:rsidR="00814EBC">
        <w:rPr>
          <w:lang w:val="en-US"/>
        </w:rPr>
        <w:t xml:space="preserve">n the three cases where the slope parameter does not increase </w:t>
      </w:r>
      <w:r w:rsidR="009C32C6">
        <w:rPr>
          <w:lang w:val="en-US"/>
        </w:rPr>
        <w:t>through the melting layer to</w:t>
      </w:r>
      <w:r w:rsidR="00A47F17">
        <w:rPr>
          <w:lang w:val="en-US"/>
        </w:rPr>
        <w:t xml:space="preserve">p. Thus, </w:t>
      </w:r>
      <w:r w:rsidR="0072045B">
        <w:rPr>
          <w:lang w:val="en-US"/>
        </w:rPr>
        <w:t xml:space="preserve">if the slope parameter does not increase in the upper portions of the melting layer, </w:t>
      </w:r>
      <w:r w:rsidR="00806DB6">
        <w:rPr>
          <w:lang w:val="en-US"/>
        </w:rPr>
        <w:t>it will not</w:t>
      </w:r>
      <w:r w:rsidR="0072045B">
        <w:rPr>
          <w:lang w:val="en-US"/>
        </w:rPr>
        <w:t xml:space="preserve"> necessarily increase in the lower portions of the melting layer.</w:t>
      </w:r>
      <w:r w:rsidR="00806DB6">
        <w:rPr>
          <w:lang w:val="en-US"/>
        </w:rPr>
        <w:t xml:space="preserve"> </w:t>
      </w:r>
      <w:r w:rsidR="00CC36F8">
        <w:rPr>
          <w:lang w:val="en-US"/>
        </w:rPr>
        <w:t xml:space="preserve">Similarly, </w:t>
      </w:r>
      <w:r w:rsidR="00781A34">
        <w:rPr>
          <w:lang w:val="en-US"/>
        </w:rPr>
        <w:t>if the intercept parameter does not increase through the melting layer top, it only increases through the melting layer bottom in just even of eighteen cases.</w:t>
      </w:r>
      <w:r w:rsidR="00C71FBC">
        <w:rPr>
          <w:lang w:val="en-US"/>
        </w:rPr>
        <w:t xml:space="preserve"> Ultimately, </w:t>
      </w:r>
      <w:r w:rsidR="00761157">
        <w:rPr>
          <w:lang w:val="en-US"/>
        </w:rPr>
        <w:t xml:space="preserve">the slope parameter is greater at the melting layer bottom compared to the top in twenty of the cases, while the intercept parameter is greater in </w:t>
      </w:r>
      <w:r w:rsidR="009B08C6">
        <w:rPr>
          <w:lang w:val="en-US"/>
        </w:rPr>
        <w:t xml:space="preserve">fifteen cases. </w:t>
      </w:r>
      <w:r w:rsidR="006237CD">
        <w:rPr>
          <w:lang w:val="en-US"/>
        </w:rPr>
        <w:t xml:space="preserve">Overall, these results are </w:t>
      </w:r>
      <w:r w:rsidR="00A71918">
        <w:rPr>
          <w:lang w:val="en-US"/>
        </w:rPr>
        <w:t xml:space="preserve">most consistent with the exponential fit from </w:t>
      </w:r>
      <w:r w:rsidR="00A71918">
        <w:rPr>
          <w:lang w:val="en-US"/>
        </w:rPr>
        <w:fldChar w:fldCharType="begin"/>
      </w:r>
      <w:r w:rsidR="00A71918">
        <w:rPr>
          <w:lang w:val="en-US"/>
        </w:rPr>
        <w:instrText xml:space="preserve"> ADDIN ZOTERO_ITEM CSL_CITATION {"citationID":"EE4lBOMf","properties":{"formattedCitation":"(Stewart et al. 1984)","plainCitation":"(Stewart et al. 1984)","noteIndex":0},"citationItems":[{"id":63,"uris":["http://zotero.org/users/8639581/items/VPXY8BKM"],"itemData":{"id":63,"type":"article-journal","abstract":"Abstract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A71918">
        <w:rPr>
          <w:rFonts w:ascii="Cambria Math" w:hAnsi="Cambria Math" w:cs="Cambria Math"/>
          <w:lang w:val="en-US"/>
        </w:rPr>
        <w:instrText>∼</w:instrText>
      </w:r>
      <w:r w:rsidR="00A71918">
        <w:rPr>
          <w:lang w:val="en-US"/>
        </w:rPr>
        <w:instrText xml:space="preserve">200 m thick existed at 0°C, and radar bright bands up to 36 dB(Ze) were measured. The largest concentrations of ice particles occurred near −5°C and snowflakes melted by </w:instrText>
      </w:r>
      <w:r w:rsidR="00A71918">
        <w:rPr>
          <w:rFonts w:ascii="Cambria Math" w:hAnsi="Cambria Math" w:cs="Cambria Math"/>
          <w:lang w:val="en-US"/>
        </w:rPr>
        <w:instrText>∼</w:instrText>
      </w:r>
      <w:r w:rsidR="00A71918">
        <w:rPr>
          <w:lang w:val="en-US"/>
        </w:rPr>
        <w:instrText>2</w:instrText>
      </w:r>
      <w:r w:rsidR="00A71918">
        <w:rPr>
          <w:rFonts w:cs="Times New Roman"/>
          <w:lang w:val="en-US"/>
        </w:rPr>
        <w:instrText>°</w:instrText>
      </w:r>
      <w:r w:rsidR="00A71918">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00A71918">
        <w:rPr>
          <w:lang w:val="en-US"/>
        </w:rPr>
        <w:fldChar w:fldCharType="separate"/>
      </w:r>
      <w:r w:rsidR="00A71918" w:rsidRPr="00A71918">
        <w:rPr>
          <w:rFonts w:cs="Times New Roman"/>
        </w:rPr>
        <w:t>(Stewart et al. 1984)</w:t>
      </w:r>
      <w:r w:rsidR="00A71918">
        <w:rPr>
          <w:lang w:val="en-US"/>
        </w:rPr>
        <w:fldChar w:fldCharType="end"/>
      </w:r>
      <w:r w:rsidR="00E11ABA">
        <w:rPr>
          <w:lang w:val="en-US"/>
        </w:rPr>
        <w:t xml:space="preserve"> where melting caused the slope parameter to increase</w:t>
      </w:r>
      <w:r w:rsidR="00C86860">
        <w:rPr>
          <w:lang w:val="en-US"/>
        </w:rPr>
        <w:t xml:space="preserve">; however, the decrease in small </w:t>
      </w:r>
      <w:r w:rsidR="00781424">
        <w:rPr>
          <w:lang w:val="en-US"/>
        </w:rPr>
        <w:t>hydrometeor</w:t>
      </w:r>
      <w:r w:rsidR="009D2C38">
        <w:rPr>
          <w:lang w:val="en-US"/>
        </w:rPr>
        <w:t xml:space="preserve"> concentration </w:t>
      </w:r>
      <w:r w:rsidR="00A74BEF">
        <w:rPr>
          <w:lang w:val="en-US"/>
        </w:rPr>
        <w:t>likely caused the intercept parameter to increase less frequently.</w:t>
      </w:r>
      <w:r w:rsidR="007017E4">
        <w:rPr>
          <w:lang w:val="en-US"/>
        </w:rPr>
        <w:t xml:space="preserve"> Although, in the two cases with significantly enhanced aggregation in the melting layer (</w:t>
      </w:r>
      <w:r w:rsidR="00B47059" w:rsidRPr="002F1E1B">
        <w:rPr>
          <w:rFonts w:eastAsia="Times New Roman" w:cs="Times New Roman"/>
          <w:lang w:val="en-US"/>
        </w:rPr>
        <w:t>IMPACTS_Spi-Des_94RH</w:t>
      </w:r>
      <w:r w:rsidR="00B47059">
        <w:rPr>
          <w:rFonts w:eastAsia="Times New Roman" w:cs="Times New Roman"/>
          <w:lang w:val="en-US"/>
        </w:rPr>
        <w:t xml:space="preserve"> and </w:t>
      </w:r>
      <w:r w:rsidR="003F3ECB">
        <w:rPr>
          <w:rFonts w:eastAsia="Times New Roman" w:cs="Times New Roman"/>
          <w:lang w:val="en-US"/>
        </w:rPr>
        <w:t xml:space="preserve">MC3E_Ram-Asc_83RHa), both parameters decrease in the location of the increased maximum diameter, consistent with </w:t>
      </w:r>
      <w:r w:rsidR="003B495E">
        <w:rPr>
          <w:rFonts w:eastAsia="Times New Roman" w:cs="Times New Roman"/>
          <w:lang w:val="en-US"/>
        </w:rPr>
        <w:fldChar w:fldCharType="begin"/>
      </w:r>
      <w:r w:rsidR="00E5451A">
        <w:rPr>
          <w:rFonts w:eastAsia="Times New Roman" w:cs="Times New Roman"/>
          <w:lang w:val="en-US"/>
        </w:rPr>
        <w:instrText xml:space="preserve"> ADDIN ZOTERO_ITEM CSL_CITATION {"citationID":"gMlqXjQV","properties":{"formattedCitation":"(Heymsfield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003B495E">
        <w:rPr>
          <w:rFonts w:eastAsia="Times New Roman" w:cs="Times New Roman"/>
          <w:lang w:val="en-US"/>
        </w:rPr>
        <w:fldChar w:fldCharType="separate"/>
      </w:r>
      <w:r w:rsidR="003B495E" w:rsidRPr="003B495E">
        <w:rPr>
          <w:rFonts w:cs="Times New Roman"/>
        </w:rPr>
        <w:t xml:space="preserve">Heymsfield et al. </w:t>
      </w:r>
      <w:r w:rsidR="003B495E">
        <w:rPr>
          <w:rFonts w:cs="Times New Roman"/>
        </w:rPr>
        <w:t>(</w:t>
      </w:r>
      <w:r w:rsidR="003B495E" w:rsidRPr="003B495E">
        <w:rPr>
          <w:rFonts w:cs="Times New Roman"/>
        </w:rPr>
        <w:t>2015)</w:t>
      </w:r>
      <w:r w:rsidR="003B495E">
        <w:rPr>
          <w:rFonts w:eastAsia="Times New Roman" w:cs="Times New Roman"/>
          <w:lang w:val="en-US"/>
        </w:rPr>
        <w:fldChar w:fldCharType="end"/>
      </w:r>
      <w:r w:rsidR="003B495E">
        <w:rPr>
          <w:rFonts w:eastAsia="Times New Roman" w:cs="Times New Roman"/>
          <w:lang w:val="en-US"/>
        </w:rPr>
        <w:t>.</w:t>
      </w:r>
    </w:p>
    <w:p w14:paraId="389504A0" w14:textId="77777777" w:rsidR="00D525BD" w:rsidRPr="00CF0DF4" w:rsidRDefault="00D525BD" w:rsidP="00D525BD">
      <w:pPr>
        <w:pStyle w:val="Body"/>
        <w:rPr>
          <w:lang w:val="en-US"/>
        </w:rPr>
      </w:pPr>
      <w:r>
        <w:rPr>
          <w:rFonts w:eastAsia="Times New Roman" w:cs="Times New Roman"/>
          <w:lang w:val="en-US"/>
        </w:rPr>
        <w:t xml:space="preserve">Given the trend variability of the exponential fit parameters in the melting layer, it is difficult to determine the impact from relative humidity. The intercept parameter increases less frequently for low relative humidity cases, likely a result of the size distribution shifting to smaller concentration values and thus smaller intercept. Additionally, the transition of the slope parameter from within to below the melting layer relates to relative humidity. For all thirteen cases below 95 percent relative humidity, the slope parameter decreases in six and stays the same in four (with no measurements for three cases). At 95 percent relative humidity and above, the slope parameter </w:t>
      </w:r>
      <w:r>
        <w:rPr>
          <w:rFonts w:eastAsia="Times New Roman" w:cs="Times New Roman"/>
          <w:lang w:val="en-US"/>
        </w:rPr>
        <w:lastRenderedPageBreak/>
        <w:t xml:space="preserve">decreases from within to below the melting layer in just five of twenty cases compared to increasing in ten cases and staying the same in five. </w:t>
      </w:r>
    </w:p>
    <w:p w14:paraId="463D4850" w14:textId="62F41EAA" w:rsidR="001A5C7D" w:rsidRPr="00CF0DF4" w:rsidRDefault="001A5C7D" w:rsidP="00D043D2">
      <w:pPr>
        <w:pStyle w:val="Body"/>
        <w:rPr>
          <w:lang w:val="en-US"/>
        </w:rPr>
      </w:pPr>
      <w:r w:rsidRPr="00CF0DF4">
        <w:rPr>
          <w:lang w:val="en-US"/>
        </w:rPr>
        <w:t>Grouped cases highlights how relative humidity impacts transitions above, within, and below the melting layer. Overall, the saturated cases are not much different than the high relative humidity cases</w:t>
      </w:r>
      <w:r w:rsidR="008366AF">
        <w:rPr>
          <w:lang w:val="en-US"/>
        </w:rPr>
        <w:t xml:space="preserve"> and more differences arise in the low relative humidity cases. The </w:t>
      </w:r>
      <w:r w:rsidR="00C536DA">
        <w:rPr>
          <w:lang w:val="en-US"/>
        </w:rPr>
        <w:t xml:space="preserve">changes in area ratio due to melting are largely unimpacted by relative humidity – </w:t>
      </w:r>
      <w:r w:rsidR="00781424">
        <w:rPr>
          <w:lang w:val="en-US"/>
        </w:rPr>
        <w:t>hydrometeors</w:t>
      </w:r>
      <w:r w:rsidR="00C536DA">
        <w:rPr>
          <w:lang w:val="en-US"/>
        </w:rPr>
        <w:t xml:space="preserve"> eventually become round, whether conditions are </w:t>
      </w:r>
      <w:r w:rsidR="0090778A">
        <w:rPr>
          <w:lang w:val="en-US"/>
        </w:rPr>
        <w:t>relatively</w:t>
      </w:r>
      <w:r w:rsidR="00C536DA">
        <w:rPr>
          <w:lang w:val="en-US"/>
        </w:rPr>
        <w:t xml:space="preserve"> dry or moist.</w:t>
      </w:r>
      <w:r w:rsidR="00142122">
        <w:rPr>
          <w:lang w:val="en-US"/>
        </w:rPr>
        <w:t xml:space="preserve"> Relative humidity impacts the concentration of </w:t>
      </w:r>
      <w:r w:rsidR="00781424">
        <w:rPr>
          <w:lang w:val="en-US"/>
        </w:rPr>
        <w:t>hydrometeors</w:t>
      </w:r>
      <w:r w:rsidR="00142122">
        <w:rPr>
          <w:lang w:val="en-US"/>
        </w:rPr>
        <w:t xml:space="preserve"> as dry conditions lead to </w:t>
      </w:r>
      <w:r w:rsidR="00D167B1">
        <w:rPr>
          <w:lang w:val="en-US"/>
        </w:rPr>
        <w:t xml:space="preserve">consistently </w:t>
      </w:r>
      <w:r w:rsidR="00F30AA0">
        <w:rPr>
          <w:lang w:val="en-US"/>
        </w:rPr>
        <w:t>decreased</w:t>
      </w:r>
      <w:r w:rsidR="00D167B1">
        <w:rPr>
          <w:lang w:val="en-US"/>
        </w:rPr>
        <w:t xml:space="preserve"> </w:t>
      </w:r>
      <w:r w:rsidR="00781424">
        <w:rPr>
          <w:lang w:val="en-US"/>
        </w:rPr>
        <w:t>hydrometeor</w:t>
      </w:r>
      <w:r w:rsidR="00D167B1">
        <w:rPr>
          <w:lang w:val="en-US"/>
        </w:rPr>
        <w:t xml:space="preserve"> concentrations and more frequently </w:t>
      </w:r>
      <w:r w:rsidR="005A1A3D">
        <w:rPr>
          <w:lang w:val="en-US"/>
        </w:rPr>
        <w:t>reduces</w:t>
      </w:r>
      <w:r w:rsidR="00D167B1">
        <w:rPr>
          <w:lang w:val="en-US"/>
        </w:rPr>
        <w:t xml:space="preserve"> </w:t>
      </w:r>
      <w:r w:rsidR="005A1A3D">
        <w:rPr>
          <w:lang w:val="en-US"/>
        </w:rPr>
        <w:t>both exponential fit p</w:t>
      </w:r>
      <w:r w:rsidR="00D167B1">
        <w:rPr>
          <w:lang w:val="en-US"/>
        </w:rPr>
        <w:t>arameters.</w:t>
      </w:r>
      <w:r w:rsidR="00A94FAE">
        <w:rPr>
          <w:lang w:val="en-US"/>
        </w:rPr>
        <w:t xml:space="preserve"> Finally, enhanced aggregation </w:t>
      </w:r>
      <w:r w:rsidR="001B4F30">
        <w:rPr>
          <w:lang w:val="en-US"/>
        </w:rPr>
        <w:t>is most common in lower relative humidity conditions.</w:t>
      </w:r>
      <w:r w:rsidRPr="00CF0DF4">
        <w:rPr>
          <w:lang w:val="en-US"/>
        </w:rPr>
        <w:br w:type="page"/>
      </w:r>
    </w:p>
    <w:p w14:paraId="1677612E" w14:textId="47548916" w:rsidR="00171C0A" w:rsidRPr="00CF0DF4" w:rsidRDefault="00EF1A78" w:rsidP="00171C0A">
      <w:pPr>
        <w:pStyle w:val="Heading1"/>
        <w:rPr>
          <w:lang w:val="en-US"/>
        </w:rPr>
      </w:pPr>
      <w:bookmarkStart w:id="138" w:name="_Toc109123110"/>
      <w:r w:rsidRPr="00CF0DF4">
        <w:rPr>
          <w:lang w:val="en-US"/>
        </w:rPr>
        <w:lastRenderedPageBreak/>
        <w:t>CHAPTER 6</w:t>
      </w:r>
      <w:r w:rsidRPr="00CF0DF4">
        <w:rPr>
          <w:lang w:val="en-US"/>
        </w:rPr>
        <w:br/>
        <w:t>CONCLUSIONS</w:t>
      </w:r>
      <w:bookmarkEnd w:id="138"/>
    </w:p>
    <w:p w14:paraId="1E7411B1" w14:textId="74900D0E" w:rsidR="002356F2" w:rsidRDefault="002356F2" w:rsidP="002356F2">
      <w:pPr>
        <w:pStyle w:val="Body"/>
      </w:pPr>
      <w:r>
        <w:t>The area ratio of hydrometeors describes their roundness and is an indicator for melting as ice hydrometeors with low area ratios increase during melting. In</w:t>
      </w:r>
      <w:r w:rsidR="000071A7">
        <w:t>-situ</w:t>
      </w:r>
      <w:r>
        <w:t xml:space="preserve"> probe images of hydrometeors within the melting layer have area ratio increases that are first apparent in smaller hydrometeors as the </w:t>
      </w:r>
      <w:r w:rsidRPr="00096E4D">
        <w:t xml:space="preserve">temperature increases. Typically, area ratio increases from the 0.3 to 0.5 range to approximately 0.8, which matches the raindrop value from </w:t>
      </w:r>
      <w:r w:rsidRPr="00096E4D">
        <w:fldChar w:fldCharType="begin"/>
      </w:r>
      <w:r w:rsidR="00E5451A" w:rsidRPr="00096E4D">
        <w:instrText xml:space="preserve"> ADDIN ZOTERO_ITEM CSL_CITATION {"citationID":"hTxuh9KT","properties":{"formattedCitation":"(Heymsfield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096E4D">
        <w:fldChar w:fldCharType="separate"/>
      </w:r>
      <w:r w:rsidRPr="00096E4D">
        <w:rPr>
          <w:rFonts w:cs="Times New Roman"/>
        </w:rPr>
        <w:t>Heymsfield et al. (2015)</w:t>
      </w:r>
      <w:r w:rsidRPr="00096E4D">
        <w:fldChar w:fldCharType="end"/>
      </w:r>
      <w:r w:rsidRPr="00096E4D">
        <w:t xml:space="preserve">; however, sometimes the area ratio of frozen </w:t>
      </w:r>
      <w:r w:rsidR="00781424" w:rsidRPr="00096E4D">
        <w:t>hydrometeors</w:t>
      </w:r>
      <w:r w:rsidRPr="00096E4D">
        <w:t xml:space="preserve"> varies and melted hydrometeors have area ratio below 0.8. Therefore, an increase in area ratio over</w:t>
      </w:r>
      <w:r>
        <w:t xml:space="preserve"> a depth best indicates that melting is occurring. However, in eight of the thirty-three identified melting layer cases, manual review of images indicates a lower bottom altitude than the area ratio indicates since infrequent large sized hydrometeors do not appear round in images.</w:t>
      </w:r>
    </w:p>
    <w:p w14:paraId="65D771B7" w14:textId="496CFDAC" w:rsidR="002356F2" w:rsidRPr="00096E4D" w:rsidRDefault="002356F2" w:rsidP="002356F2">
      <w:pPr>
        <w:pStyle w:val="Body"/>
        <w:rPr>
          <w:rFonts w:ascii="Nirmala UI" w:hAnsi="Nirmala UI" w:cs="Nirmala UI"/>
        </w:rPr>
      </w:pPr>
      <w:r>
        <w:t xml:space="preserve">In subsaturated conditions where there is a difference between the 0 °C air temperature and ice-bulb isotherm, the area ratio does not begin to increase until below the 0 °C ice-bulb isotherm, which confirms </w:t>
      </w:r>
      <w:r>
        <w:fldChar w:fldCharType="begin"/>
      </w:r>
      <w:r w:rsidR="00E5451A">
        <w:instrText xml:space="preserve"> ADDIN ZOTERO_ITEM CSL_CITATION {"citationID":"7CfmGd8n","properties":{"formattedCitation":"(Heymsfield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fldChar w:fldCharType="separate"/>
      </w:r>
      <w:r w:rsidRPr="00093B2C">
        <w:rPr>
          <w:rFonts w:cs="Times New Roman"/>
        </w:rPr>
        <w:t xml:space="preserve">Heymsfield et al. </w:t>
      </w:r>
      <w:r>
        <w:rPr>
          <w:rFonts w:cs="Times New Roman"/>
        </w:rPr>
        <w:t>(</w:t>
      </w:r>
      <w:r w:rsidRPr="00093B2C">
        <w:rPr>
          <w:rFonts w:cs="Times New Roman"/>
        </w:rPr>
        <w:t>2021)</w:t>
      </w:r>
      <w:r>
        <w:fldChar w:fldCharType="end"/>
      </w:r>
      <w:r>
        <w:t xml:space="preserve"> assessment that an ice-bulb temperature of 0 °C is an accurate depiction of the melting layer top. Numerical models could benefit from implementing a melting layer top defined by the 0 °C ice-bulb isotherm. Additionally, models should not necessar</w:t>
      </w:r>
      <w:r w:rsidR="00546987">
        <w:t>ily</w:t>
      </w:r>
      <w:r>
        <w:t xml:space="preserve"> include a common report </w:t>
      </w:r>
      <w:r w:rsidR="00A44F49">
        <w:t xml:space="preserve">that the </w:t>
      </w:r>
      <w:r>
        <w:t xml:space="preserve">melting layer </w:t>
      </w:r>
      <w:r w:rsidR="00A44F49">
        <w:t xml:space="preserve">is </w:t>
      </w:r>
      <w:r>
        <w:t xml:space="preserve">associated </w:t>
      </w:r>
      <w:r w:rsidR="006A3CD3">
        <w:t>with</w:t>
      </w:r>
      <w:r>
        <w:t xml:space="preserve"> a 0 °C isothermal or quasi-isothermal layer (e.g., </w:t>
      </w:r>
      <w:r>
        <w:fldChar w:fldCharType="begin"/>
      </w:r>
      <w:r w:rsidR="00E5451A">
        <w:instrText xml:space="preserve"> ADDIN ZOTERO_ITEM CSL_CITATION {"citationID":"M95cxJ3M","properties":{"formattedCitation":"(Wexler et al. 1954; Atlas et al. 1969; Carbone 1982; Stewart et al. 1984; Szeto and Stewart 1997; Kain et al. 2000)","plainCitation":"(Wexler et al. 1954; Atlas et al. 1969; Carbone 1982; Stewart et al. 1984; Szeto and Stewart 1997; Kain et al. 2000)","dontUpdate":true,"noteIndex":0},"citationItems":[{"id":22,"uris":["http://zotero.org/users/8639581/items/JP9HC2DX"],"itemData":{"id":22,"type":"article-journal","container-title":"Bulletin of the American Meteorological Society","DOI":"10.1175/1520-0477-35.2.48","ISSN":"0003-0007, 1520-0477","issue":"2","language":"en","page":"48-51","source":"DOI.org (Crossref)","title":"Atmospheric Cooling by Melting Snow *","volume":"35","author":[{"family":"Wexler","given":"R."},{"family":"Reed","given":"R. J."},{"family":"Honig","given":"J."}],"issued":{"date-parts":[["1954",2,1]]}}},{"id":175,"uris":["http://zotero.org/groups/4663654/items/XZ2Z3Z2N"],"itemData":{"id":175,"type":"article-journal","abstract":"Doppler radar observations during widespread frontal precipitation in England on 20 February 1967 show significant perturbations of the wind in and near the melting layer. The analysis suggests the following hypotheses: (i) Mesoscale oscillations of the wind near the melting layer are produced by pressure perturbations due to horizontal variations in cooling by melting snow associated with the precipitation pattern. A simple theoretical analysis of the effect is presented. In simple patterns, the perturbed wind has a maximum on the low pressure side of the rainfall. The perturbations propagate with the velocity of the precipitation generators and their magnitude increases with the precipitation rate. This hypothesis is in accord with the finding that the oscillation in the tangential wind across hurricane rain bands is generally a maximum on the low pressure side of the bands. (ii) Smaller scale wind perturbations were also observed in the melting layer with scale of a few kilometers comparable to those reported by Harrold and Browning (1967). However, unlike their observations, these perturbations did not appear to move with the melting layer winds. A tentative suggestion is made that these may represent wave motions.","container-title":"Quarterly Journal of the Royal Meteorological Society","DOI":"10.1002/qj.49709540508","ISSN":"1477-870X","issue":"405","language":"en","note":"_eprint: https://onlinelibrary.wiley.com/doi/pdf/10.1002/qj.49709540508","page":"544-560","source":"Wiley Online Library","title":"Precipitation-induced mesoscale wind perturbations in the melting layer","volume":"95","author":[{"family":"Atlas","given":"D."},{"family":"Tatehira","given":"R."},{"family":"Srivastava","given":"R. C."},{"family":"Marker","given":"W."},{"family":"Carbone","given":"R. E."}],"issued":{"date-parts":[["1969"]]}}},{"id":182,"uris":["http://zotero.org/groups/4663654/items/HBM3TCZA"],"itemData":{"id":182,"type":"article-journal","abstract":"Abstract A narrow cold frontal band of intense precipitation is examined by means of triple Doppler radar and supporting observations. As the band passed through the Central Valley of California, it was accompanied by strong gusty winds, electrical activity, tornadoes and pressure jumps. Part I delineates the stormwide kinematic and thermodynamic structure. A highly two-dimensional pre-frontal updraft of 15–20 m s−1 results primarily from intense planetary boundary layer forcing of a low-level jet by the gravity-current propagation mechanism. Maximum updraft speed occurs at 2.1 km and the maximum radar echo depth is 6.6 km. Diabatic cooling, due to melting hydrometers, is proposed as a likely mechanism for control of gravity current depth and maintenance of density contrast together with synoptic-scale cold air advection. Available convective potential energy is shown to be small and kinetic energy of the environmental vertical wind shear is proposed as a likely source of energy on the updraft scale. Tornadoes develop at Helmholtz type inflectional instabilities along the surface front. Frontal zone horizontal shear, convergence and relative vorticity average 10−2 s−1. The results represent a particularly intense case in a class of storms previously studied by several other investigators. Part II will present the stormwide vorticity structure together with a detailed kinematic analysis of a small-scale vortex which spawns a tornado. Vorticity production terms will be discussed in view of the larger scale context.","container-title":"Journal of the Atmospheric Sciences","DOI":"10.1175/1520-0469(1982)039&lt;0258:ASFRPI&gt;2.0.CO;2","ISSN":"0022-4928, 1520-0469","issue":"2","language":"EN","note":"publisher: American Meteorological Society\nsection: Journal of the Atmospheric Sciences","page":"258-279","source":"journals.ametsoc.org","title":"A Severe Frontal Rainband. Part I. Stormwide Hydrodynamic Structure","volume":"39","author":[{"family":"Carbone","given":"Richard E."}],"issued":{"date-parts":[["1982",2,1]]}}},{"id":63,"uris":["http://zotero.org/users/8639581/items/VPXY8BKM"],"itemData":{"id":63,"type":"article-journal","abstract":"Abstract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E5451A">
        <w:rPr>
          <w:rFonts w:ascii="Cambria Math" w:hAnsi="Cambria Math" w:cs="Cambria Math"/>
        </w:rPr>
        <w:instrText>∼</w:instrText>
      </w:r>
      <w:r w:rsidR="00E5451A">
        <w:instrText>200 m thick existed at 0</w:instrText>
      </w:r>
      <w:r w:rsidR="00E5451A">
        <w:rPr>
          <w:rFonts w:cs="Times New Roman"/>
        </w:rPr>
        <w:instrText>°</w:instrText>
      </w:r>
      <w:r w:rsidR="00E5451A">
        <w:instrText xml:space="preserve">C, and radar bright bands up to 36 dB(Ze) were measured. The largest concentrations of ice particles occurred near −5°C and snowflakes melted by </w:instrText>
      </w:r>
      <w:r w:rsidR="00E5451A">
        <w:rPr>
          <w:rFonts w:ascii="Cambria Math" w:hAnsi="Cambria Math" w:cs="Cambria Math"/>
        </w:rPr>
        <w:instrText>∼</w:instrText>
      </w:r>
      <w:r w:rsidR="00E5451A">
        <w:instrText>2</w:instrText>
      </w:r>
      <w:r w:rsidR="00E5451A">
        <w:rPr>
          <w:rFonts w:cs="Times New Roman"/>
        </w:rPr>
        <w:instrText>°</w:instrText>
      </w:r>
      <w:r w:rsidR="00E5451A">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E."}],"issued":{"date-parts":[["1984",11,15]]}}},{"id":187,"uris":["http://zotero.org/groups/4663654/items/3M48F5KT"],"itemData":{"id":187,"type":"article-journal","abstract":"Abstract Frontal precipitation systems are simulated with a 2D cloud model including ice-phase microphysics. Despite the use of idealized frontogenetic forcing in the simulations, some observed characteristics of frontal zones and their associated cloud and precipitation fields are reproduced in the simulations. The effects of melting snow on surface frontogenesis is investigated. It is found that the cooling effects of melting snow significantly accelerate surface frontogenesis in winter storm environments, especially when the melting layer is close to the surface. However, the steady-state surface frontal strength in the model is not sensitive to the melting effects. Finescale thermal and kinematic perturbations inside the frontal zone near the melting level, quite similar to those recently reported in the literature, are evident in the model results. Analysis of the model results suggests that cooling from melting snow may induce these thermal and kinematic perturbations and may enhance baroclinicity, resulting in accelerating frontogenesis. These frontogenetic effects should be strongest when the melting layer is near the surface, thus explaining the often observed coincidence of surface fronts with the surface rain–snow boundary in winter storms.","container-title":"Journal of the Atmospheric Sciences","DOI":"10.1175/1520-0469(1997)054&lt;0689:EOMOF&gt;2.0.CO;2","ISSN":"0022-4928, 1520-0469","issue":"6","language":"EN","note":"publisher: American Meteorological Society\nsection: Journal of the Atmospheric Sciences","page":"689-702","source":"journals.ametsoc.org","title":"Effects of Melting on Frontogenesis","volume":"54","author":[{"family":"Szeto","given":"K. K."},{"family":"Stewart","given":"R. E."}],"issued":{"date-parts":[["1997",3,1]]}}},{"id":136,"uris":["http://zotero.org/groups/4663654/items/RY7JA58D"],"itemData":{"id":136,"type":"article-journal","abstract":"Abstract The process of atmospheric cooling due to melting precipitation is examined to evaluate its contribution to determining precipitation type. The “melting effect” is typically of second-order importance compared to other processes that influence the lower-tropospheric air temperature and hence the type of precipitation that reaches the ground. In some cases, however, cooling due to melting snowflakes can emerge as the dominant agent of temperature change, occasionally surprising forecasters (and the public) by inducing an unexpected changeover from rain to heavy snow. One such case occurred on 3–4 February 1998 in east-central Tennessee and surrounding areas. Commonly applied considerations for predicting precipitation type had convinced forecasters that significant snowfall was not likely with this event. However, real-time observations and a postevent analysis by forecasters at the Storm Prediction Center led to the hypothesis that the melting effect must have provided the cooling necessary to allow widespread heavy snowfall. To test this hypothesis, the Pennsylvania State University–NCAR Mesoscale Model was used to generate a mesoscale-resolution, four-dimensional dataset for this event. Diagnostic analysis of the model output confirmed that cooling due to melting snowflakes was of a sufficient magnitude to account for the disparity between observed and forecasted lower-tropospheric temperatures in this case. A simple formula is derived to provide a “rule of thumb” for anticipating the potential impact of the melting effect. In addition, guidelines are provided for identifying meteorological patterns that favor a predominance of the melting effect.","container-title":"Weather and Forecasting","DOI":"10.1175/1520-0434(2000)015&lt;0700:TMEAAF&gt;2.0.CO;2","ISSN":"1520-0434, 0882-8156","issue":"6","language":"EN","note":"publisher: American Meteorological Society\nsection: Weather and Forecasting","page":"700-714","source":"journals.ametsoc.org","title":"The Melting Effect as a Factor in Precipitation-Type Forecasting","volume":"15","author":[{"family":"Kain","given":"John S."},{"family":"Goss","given":"Stephen M."},{"family":"Baldwin","given":"Michael E."}],"issued":{"date-parts":[["2000",12,1]]}}}],"schema":"https://github.com/citation-style-language/schema/raw/master/csl-citation.json"} </w:instrText>
      </w:r>
      <w:r>
        <w:fldChar w:fldCharType="separate"/>
      </w:r>
      <w:r w:rsidRPr="005114C0">
        <w:rPr>
          <w:rFonts w:cs="Times New Roman"/>
        </w:rPr>
        <w:t>Wexler et al. 1954; Atlas et al. 1969; Carbone 1982; Stewart et al. 1984; Szeto and Stewart 1997; Kain et al. 2000)</w:t>
      </w:r>
      <w:r>
        <w:fldChar w:fldCharType="end"/>
      </w:r>
      <w:r>
        <w:t xml:space="preserve"> as only two of the thirty-three cases had a 0 °C quasi-isothermal layer, and one of them is solely above the melting layer</w:t>
      </w:r>
      <w:r w:rsidR="008F56D9">
        <w:t xml:space="preserve"> (</w:t>
      </w:r>
      <w:r w:rsidR="008F56D9">
        <w:fldChar w:fldCharType="begin"/>
      </w:r>
      <w:r w:rsidR="008F56D9">
        <w:instrText xml:space="preserve"> REF _Ref106429289 \h </w:instrText>
      </w:r>
      <w:r w:rsidR="008F56D9">
        <w:fldChar w:fldCharType="separate"/>
      </w:r>
      <w:r w:rsidR="00DB4BE3" w:rsidRPr="00CF0DF4">
        <w:t xml:space="preserve">Figure </w:t>
      </w:r>
      <w:r w:rsidR="00DB4BE3">
        <w:rPr>
          <w:noProof/>
        </w:rPr>
        <w:t>23</w:t>
      </w:r>
      <w:r w:rsidR="008F56D9">
        <w:fldChar w:fldCharType="end"/>
      </w:r>
      <w:r w:rsidR="008F56D9">
        <w:t>)</w:t>
      </w:r>
      <w:r>
        <w:t xml:space="preserve">. The cloud type and environment may play a significant role in the development of a quasi-isothermal layer due to melting. Diabatic cooling due to melting is parameterized in numerical model microphysics </w:t>
      </w:r>
      <w:proofErr w:type="gramStart"/>
      <w:r>
        <w:lastRenderedPageBreak/>
        <w:t>schemes, and</w:t>
      </w:r>
      <w:proofErr w:type="gramEnd"/>
      <w:r>
        <w:t xml:space="preserve"> ensuring that the cooling rate is representative of observations is important for better forecasts. Another avenue for future studies is to assess how melting impacts the lapse rate. While the onset of melting may not always create a 0 °C quasi-isothermal layer, it may instead lower the </w:t>
      </w:r>
      <w:r w:rsidRPr="00096E4D">
        <w:t>lapse rate, which would deepen the melting layer and better match results of previous studies.</w:t>
      </w:r>
    </w:p>
    <w:p w14:paraId="15325F16" w14:textId="51A47D53" w:rsidR="002356F2" w:rsidRDefault="002356F2" w:rsidP="002356F2">
      <w:pPr>
        <w:pStyle w:val="Body"/>
        <w:rPr>
          <w:lang w:val="en-US"/>
        </w:rPr>
      </w:pPr>
      <w:r w:rsidRPr="00096E4D">
        <w:rPr>
          <w:lang w:val="en-US"/>
        </w:rPr>
        <w:t xml:space="preserve">The concentration of large </w:t>
      </w:r>
      <w:r w:rsidR="00781424" w:rsidRPr="00096E4D">
        <w:rPr>
          <w:lang w:val="en-US"/>
        </w:rPr>
        <w:t>hydrometeors</w:t>
      </w:r>
      <w:r w:rsidRPr="00096E4D">
        <w:rPr>
          <w:lang w:val="en-US"/>
        </w:rPr>
        <w:t xml:space="preserve"> decreases from above to below the melting layer; however, the concentration of small </w:t>
      </w:r>
      <w:r w:rsidR="00781424" w:rsidRPr="00096E4D">
        <w:rPr>
          <w:lang w:val="en-US"/>
        </w:rPr>
        <w:t>hydrometeors</w:t>
      </w:r>
      <w:r w:rsidRPr="00096E4D">
        <w:rPr>
          <w:lang w:val="en-US"/>
        </w:rPr>
        <w:t xml:space="preserve"> infrequently increases, which suggests </w:t>
      </w:r>
      <w:r w:rsidR="00781424" w:rsidRPr="00096E4D">
        <w:rPr>
          <w:lang w:val="en-US"/>
        </w:rPr>
        <w:t>hydrometeors</w:t>
      </w:r>
      <w:r w:rsidRPr="00096E4D">
        <w:rPr>
          <w:lang w:val="en-US"/>
        </w:rPr>
        <w:t xml:space="preserve"> evaporate and the concentration is shifted to </w:t>
      </w:r>
      <w:r w:rsidR="00781424" w:rsidRPr="00096E4D">
        <w:rPr>
          <w:lang w:val="en-US"/>
        </w:rPr>
        <w:t>hydrometeors</w:t>
      </w:r>
      <w:r w:rsidRPr="00096E4D">
        <w:rPr>
          <w:lang w:val="en-US"/>
        </w:rPr>
        <w:t xml:space="preserve"> smaller than 500 µm. Another common result</w:t>
      </w:r>
      <w:r>
        <w:rPr>
          <w:lang w:val="en-US"/>
        </w:rPr>
        <w:t xml:space="preserve"> is a lack of strongly enhanced aggregation in the melting layer, which had been hypothesized as a potential cause of the radar bright band signal (e.g., </w:t>
      </w:r>
      <w:r>
        <w:rPr>
          <w:lang w:val="en-US"/>
        </w:rPr>
        <w:fldChar w:fldCharType="begin"/>
      </w:r>
      <w:r w:rsidR="00E5451A">
        <w:rPr>
          <w:lang w:val="en-US"/>
        </w:rPr>
        <w:instrText xml:space="preserve"> ADDIN ZOTERO_ITEM CSL_CITATION {"citationID":"AFjEC5Gd","properties":{"formattedCitation":"(Austin and Bemis 1950; Klaassen 1988; Willis and Heymsfield 1989; Heymsfield et al. 2015)","plainCitation":"(Austin and Bemis 1950; Klaassen 1988; Willis and Heymsfield 1989; Heymsfield et al. 2015)","dontUpdate":true,"noteIndex":0},"citationItems":[{"id":194,"uris":["http://zotero.org/groups/4663654/items/93MLKHHR"],"itemData":{"id":194,"type":"article-journal","abstract":"Abstract Observations and measurements of the bright band in radar echoes are presented. It is shown that the theory of coalescence and melting of snowflakes provides an adequate explanation of the phenomenon.","container-title":"Journal of the Atmospheric Sciences","DOI":"10.1175/1520-0469(1950)007&lt;0145:AQSOTB&gt;2.0.CO;2","ISSN":"1520-0469","issue":"2","language":"EN","note":"publisher: American Meteorological Society\nsection: Journal of the Atmospheric Sciences","page":"145-151","source":"journals.ametsoc.org","title":"A QUANTITATIVE STUDY OF THE “BRIGHT BAND” IN RADAR PRECIPITATION ECHOES","volume":"7","author":[{"family":"Austin","given":"Pauline M."},{"family":"Bemis","given":"Alan C."}],"issued":{"date-parts":[["1950",4,1]]}}},{"id":65,"uris":["http://zotero.org/users/8639581/items/24E3TB7V"],"itemData":{"id":65,"type":"article-journal","container-title":"Journal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Pr>
          <w:lang w:val="en-US"/>
        </w:rPr>
        <w:fldChar w:fldCharType="separate"/>
      </w:r>
      <w:r w:rsidRPr="00AA5AF4">
        <w:rPr>
          <w:rFonts w:cs="Times New Roman"/>
        </w:rPr>
        <w:t>Austin and Bemis 1950; Klaassen 1988; Willis and Heymsfield 1989; Heymsfield et al. 2015)</w:t>
      </w:r>
      <w:r>
        <w:rPr>
          <w:lang w:val="en-US"/>
        </w:rPr>
        <w:fldChar w:fldCharType="end"/>
      </w:r>
      <w:r>
        <w:rPr>
          <w:lang w:val="en-US"/>
        </w:rPr>
        <w:t xml:space="preserve">. Additional analysis could compare bright band signal to the reflectivity changes due to the observed change in </w:t>
      </w:r>
      <w:r w:rsidR="00781424">
        <w:rPr>
          <w:lang w:val="en-US"/>
        </w:rPr>
        <w:t>hydrometeor</w:t>
      </w:r>
      <w:r>
        <w:rPr>
          <w:lang w:val="en-US"/>
        </w:rPr>
        <w:t xml:space="preserve"> concentration. The exponential spectrum fit is largely variable with the most common trend being the slope parameter increase in the melting layer, which suggests no significant aggregation is occurring. Although, future studies may also consider fitting the spectrum to a gamma distribution and combining the large and small probe observations.</w:t>
      </w:r>
    </w:p>
    <w:p w14:paraId="48768E28" w14:textId="6A142F7A" w:rsidR="002356F2" w:rsidRDefault="002356F2" w:rsidP="002356F2">
      <w:pPr>
        <w:pStyle w:val="Body"/>
        <w:rPr>
          <w:lang w:val="en-US"/>
        </w:rPr>
      </w:pPr>
      <w:r w:rsidRPr="00CF0DF4">
        <w:rPr>
          <w:lang w:val="en-US"/>
        </w:rPr>
        <w:t>A</w:t>
      </w:r>
      <w:r>
        <w:rPr>
          <w:lang w:val="en-US"/>
        </w:rPr>
        <w:t>n analysis</w:t>
      </w:r>
      <w:r w:rsidRPr="00CF0DF4">
        <w:rPr>
          <w:lang w:val="en-US"/>
        </w:rPr>
        <w:t xml:space="preserve"> limitation </w:t>
      </w:r>
      <w:r>
        <w:rPr>
          <w:lang w:val="en-US"/>
        </w:rPr>
        <w:t xml:space="preserve">is the </w:t>
      </w:r>
      <w:proofErr w:type="gramStart"/>
      <w:r>
        <w:rPr>
          <w:lang w:val="en-US"/>
        </w:rPr>
        <w:t>low resolution</w:t>
      </w:r>
      <w:proofErr w:type="gramEnd"/>
      <w:r>
        <w:rPr>
          <w:lang w:val="en-US"/>
        </w:rPr>
        <w:t xml:space="preserve"> images used to derive area ratio for small sized </w:t>
      </w:r>
      <w:r w:rsidR="00781424">
        <w:rPr>
          <w:lang w:val="en-US"/>
        </w:rPr>
        <w:t>hydrometeors</w:t>
      </w:r>
      <w:r w:rsidRPr="00CF0DF4">
        <w:rPr>
          <w:lang w:val="en-US"/>
        </w:rPr>
        <w:t xml:space="preserve">. While the 2D-S </w:t>
      </w:r>
      <w:r>
        <w:rPr>
          <w:lang w:val="en-US"/>
        </w:rPr>
        <w:t>has</w:t>
      </w:r>
      <w:r w:rsidRPr="00CF0DF4">
        <w:rPr>
          <w:lang w:val="en-US"/>
        </w:rPr>
        <w:t xml:space="preserve"> 10 µm</w:t>
      </w:r>
      <w:r>
        <w:rPr>
          <w:lang w:val="en-US"/>
        </w:rPr>
        <w:t xml:space="preserve"> diodes</w:t>
      </w:r>
      <w:r w:rsidRPr="00CF0DF4">
        <w:rPr>
          <w:lang w:val="en-US"/>
        </w:rPr>
        <w:t xml:space="preserve">, the </w:t>
      </w:r>
      <w:r>
        <w:rPr>
          <w:lang w:val="en-US"/>
        </w:rPr>
        <w:t xml:space="preserve">melting layer 2D-S observations </w:t>
      </w:r>
      <w:r w:rsidRPr="00CF0DF4">
        <w:rPr>
          <w:lang w:val="en-US"/>
        </w:rPr>
        <w:t xml:space="preserve">frequently measured zero </w:t>
      </w:r>
      <w:r w:rsidR="00781424">
        <w:rPr>
          <w:lang w:val="en-US"/>
        </w:rPr>
        <w:t>hydrometeors</w:t>
      </w:r>
      <w:r w:rsidRPr="00CF0DF4">
        <w:rPr>
          <w:lang w:val="en-US"/>
        </w:rPr>
        <w:t xml:space="preserve"> and derived measurements </w:t>
      </w:r>
      <w:r>
        <w:rPr>
          <w:lang w:val="en-US"/>
        </w:rPr>
        <w:t>are</w:t>
      </w:r>
      <w:r w:rsidRPr="00CF0DF4">
        <w:rPr>
          <w:lang w:val="en-US"/>
        </w:rPr>
        <w:t xml:space="preserve"> not used</w:t>
      </w:r>
      <w:r>
        <w:rPr>
          <w:lang w:val="en-US"/>
        </w:rPr>
        <w:t>. The ability of</w:t>
      </w:r>
      <w:r w:rsidRPr="00CF0DF4">
        <w:rPr>
          <w:lang w:val="en-US"/>
        </w:rPr>
        <w:t xml:space="preserve"> the HVPS3 to measure </w:t>
      </w:r>
      <w:r w:rsidR="00781424">
        <w:rPr>
          <w:lang w:val="en-US"/>
        </w:rPr>
        <w:t>hydrometeors</w:t>
      </w:r>
      <w:r w:rsidRPr="00CF0DF4">
        <w:rPr>
          <w:lang w:val="en-US"/>
        </w:rPr>
        <w:t xml:space="preserve"> that the 2D-S did not</w:t>
      </w:r>
      <w:r>
        <w:rPr>
          <w:lang w:val="en-US"/>
        </w:rPr>
        <w:t xml:space="preserve"> in the 300 to 2000 </w:t>
      </w:r>
      <w:r>
        <w:rPr>
          <w:rFonts w:cs="Times New Roman"/>
          <w:lang w:val="en-US"/>
        </w:rPr>
        <w:t>µ</w:t>
      </w:r>
      <w:r>
        <w:rPr>
          <w:lang w:val="en-US"/>
        </w:rPr>
        <w:t>m range</w:t>
      </w:r>
      <w:r w:rsidRPr="00CF0DF4">
        <w:rPr>
          <w:lang w:val="en-US"/>
        </w:rPr>
        <w:t xml:space="preserve"> is </w:t>
      </w:r>
      <w:r>
        <w:rPr>
          <w:lang w:val="en-US"/>
        </w:rPr>
        <w:t xml:space="preserve">due </w:t>
      </w:r>
      <w:r w:rsidRPr="00CF0DF4">
        <w:rPr>
          <w:lang w:val="en-US"/>
        </w:rPr>
        <w:t>to the large</w:t>
      </w:r>
      <w:r>
        <w:rPr>
          <w:lang w:val="en-US"/>
        </w:rPr>
        <w:t>r</w:t>
      </w:r>
      <w:r w:rsidRPr="00CF0DF4">
        <w:rPr>
          <w:lang w:val="en-US"/>
        </w:rPr>
        <w:t xml:space="preserve"> </w:t>
      </w:r>
      <w:r>
        <w:rPr>
          <w:lang w:val="en-US"/>
        </w:rPr>
        <w:t>HVPS</w:t>
      </w:r>
      <w:r w:rsidR="005F2C35">
        <w:rPr>
          <w:lang w:val="en-US"/>
        </w:rPr>
        <w:t>3</w:t>
      </w:r>
      <w:r>
        <w:rPr>
          <w:lang w:val="en-US"/>
        </w:rPr>
        <w:t xml:space="preserve"> </w:t>
      </w:r>
      <w:r w:rsidRPr="00CF0DF4">
        <w:rPr>
          <w:lang w:val="en-US"/>
        </w:rPr>
        <w:t>sample volume. A large</w:t>
      </w:r>
      <w:r>
        <w:rPr>
          <w:lang w:val="en-US"/>
        </w:rPr>
        <w:t>r</w:t>
      </w:r>
      <w:r w:rsidRPr="00CF0DF4">
        <w:rPr>
          <w:lang w:val="en-US"/>
        </w:rPr>
        <w:t xml:space="preserve"> sample volume probe</w:t>
      </w:r>
      <w:r>
        <w:rPr>
          <w:lang w:val="en-US"/>
        </w:rPr>
        <w:t xml:space="preserve"> with higher resolution than the HVPS3</w:t>
      </w:r>
      <w:r w:rsidRPr="00CF0DF4">
        <w:rPr>
          <w:lang w:val="en-US"/>
        </w:rPr>
        <w:t xml:space="preserve">, such as the </w:t>
      </w:r>
      <w:r>
        <w:rPr>
          <w:lang w:val="en-US"/>
        </w:rPr>
        <w:t xml:space="preserve">SPEC Hawkeye Combination Cloud </w:t>
      </w:r>
      <w:r w:rsidR="00781424">
        <w:rPr>
          <w:lang w:val="en-US"/>
        </w:rPr>
        <w:t>Hydrometeor</w:t>
      </w:r>
      <w:r>
        <w:rPr>
          <w:lang w:val="en-US"/>
        </w:rPr>
        <w:t xml:space="preserve"> Probe which includes a new 50 µm channel of the 2D-S may improve the profile of small </w:t>
      </w:r>
      <w:r w:rsidR="00781424">
        <w:rPr>
          <w:lang w:val="en-US"/>
        </w:rPr>
        <w:t>hydrometeors</w:t>
      </w:r>
      <w:r>
        <w:rPr>
          <w:lang w:val="en-US"/>
        </w:rPr>
        <w:t xml:space="preserve"> and their transition within the melting layer for future studies.</w:t>
      </w:r>
    </w:p>
    <w:p w14:paraId="518297C6" w14:textId="77777777" w:rsidR="00B6694F" w:rsidRPr="002F1E1B" w:rsidRDefault="00BB2CF7" w:rsidP="00B6694F">
      <w:pPr>
        <w:pStyle w:val="Heading1"/>
        <w:rPr>
          <w:lang w:val="en-US"/>
        </w:rPr>
      </w:pPr>
      <w:r w:rsidRPr="00AE5C0A">
        <w:rPr>
          <w:b w:val="0"/>
          <w:bCs/>
        </w:rPr>
        <w:br w:type="page"/>
      </w:r>
      <w:bookmarkStart w:id="139" w:name="_Toc107518880"/>
      <w:bookmarkStart w:id="140" w:name="_Toc109123111"/>
      <w:bookmarkEnd w:id="130"/>
      <w:r w:rsidR="00B6694F" w:rsidRPr="002F1E1B">
        <w:rPr>
          <w:lang w:val="en-US"/>
        </w:rPr>
        <w:lastRenderedPageBreak/>
        <w:t>APPENDIX A</w:t>
      </w:r>
      <w:r w:rsidR="00B6694F" w:rsidRPr="002F1E1B">
        <w:rPr>
          <w:lang w:val="en-US"/>
        </w:rPr>
        <w:br/>
        <w:t xml:space="preserve">Ice-bulb </w:t>
      </w:r>
      <w:r w:rsidR="00B6694F">
        <w:rPr>
          <w:lang w:val="en-US"/>
        </w:rPr>
        <w:t xml:space="preserve">and Wet-bulb </w:t>
      </w:r>
      <w:r w:rsidR="00B6694F" w:rsidRPr="002F1E1B">
        <w:rPr>
          <w:lang w:val="en-US"/>
        </w:rPr>
        <w:t>Temperature Calculation</w:t>
      </w:r>
      <w:bookmarkEnd w:id="139"/>
      <w:r w:rsidR="00B6694F">
        <w:rPr>
          <w:lang w:val="en-US"/>
        </w:rPr>
        <w:t>s</w:t>
      </w:r>
      <w:bookmarkEnd w:id="140"/>
    </w:p>
    <w:p w14:paraId="1A0573A7" w14:textId="77777777" w:rsidR="00B6694F" w:rsidRPr="002F1E1B" w:rsidRDefault="00B6694F" w:rsidP="00B6694F">
      <w:pPr>
        <w:pStyle w:val="Body"/>
        <w:rPr>
          <w:lang w:val="en-US"/>
        </w:rPr>
      </w:pPr>
      <w:r w:rsidRPr="002F1E1B">
        <w:rPr>
          <w:lang w:val="en-US"/>
        </w:rPr>
        <w:t>The ice-bulb and wet-bulb temperatures are calculated with the newly developed Airborne Data Processing and Analysis (ADPAA) module, bulbtemp.py. The bulbtemp module procedures a file with ice-bulb and wet-bulb temperatures using inputs of atmospheric pressure, temperature, and dew point temperature. The bulbtemp module utilizes the fsolve numerical solver, which is part of the SciPy Python module.</w:t>
      </w:r>
    </w:p>
    <w:p w14:paraId="5E3296A6" w14:textId="396A2971" w:rsidR="00B6694F" w:rsidRDefault="00B6694F" w:rsidP="00E44A6E">
      <w:pPr>
        <w:pStyle w:val="Body"/>
        <w:rPr>
          <w:lang w:val="en-US"/>
        </w:rPr>
      </w:pPr>
      <w:r w:rsidRPr="002F1E1B">
        <w:rPr>
          <w:lang w:val="en-US"/>
        </w:rPr>
        <w:t xml:space="preserve">The fsolve solver provides roots of a non-linear equation or system of equations. For the ice-bulb and wet-bulb temperatures calculations, fsolve is used to determine roots of two non-linear equations derived from the Clausius-Clapeyron equation and the psychrometric formula. The psychrometric formula, sometimes referred to as the hygrometric formula, gives the vapor pressure from barometer and psychrometer readings </w:t>
      </w:r>
      <w:r w:rsidRPr="002F1E1B">
        <w:rPr>
          <w:lang w:val="en-US"/>
        </w:rPr>
        <w:fldChar w:fldCharType="begin"/>
      </w:r>
      <w:r w:rsidRPr="002F1E1B">
        <w:rPr>
          <w:lang w:val="en-US"/>
        </w:rPr>
        <w:instrText xml:space="preserve"> ADDIN ZOTERO_ITEM CSL_CITATION {"citationID":"mneByRxY","properties":{"formattedCitation":"([CSL STYLE ERROR: reference with no printed form.])","plainCitation":"([CSL STYLE ERROR: reference with no printed form.])","dontUpdate":true,"noteIndex":0},"citationItems":[{"id":211,"uris":["http://zotero.org/groups/4663654/items/2BT72936"],"itemData":{"id":211,"type":"webpage","title":"Psychrometric formula - Glossary of Meteorology","URL":"https://glossary.ametsoc.org/wiki/Psychrometric_formula","accessed":{"date-parts":[["2022",5,2]]}}}],"schema":"https://github.com/citation-style-language/schema/raw/master/csl-citation.json"} </w:instrText>
      </w:r>
      <w:r w:rsidRPr="002F1E1B">
        <w:rPr>
          <w:lang w:val="en-US"/>
        </w:rPr>
        <w:fldChar w:fldCharType="separate"/>
      </w:r>
      <w:r w:rsidRPr="002F1E1B">
        <w:rPr>
          <w:rFonts w:cs="Times New Roman"/>
          <w:lang w:val="en-US"/>
        </w:rPr>
        <w:t>(AMS Glossary of Meteorology)</w:t>
      </w:r>
      <w:r w:rsidRPr="002F1E1B">
        <w:rPr>
          <w:lang w:val="en-US"/>
        </w:rPr>
        <w:fldChar w:fldCharType="end"/>
      </w:r>
      <w:r w:rsidRPr="002F1E1B">
        <w:rPr>
          <w:lang w:val="en-US"/>
        </w:rPr>
        <w:t xml:space="preserve">. The Clausius-Clapeyron equation relates air temperature (T) </w:t>
      </w:r>
      <w:r>
        <w:rPr>
          <w:lang w:val="en-US"/>
        </w:rPr>
        <w:t>and</w:t>
      </w:r>
      <w:r w:rsidRPr="002F1E1B">
        <w:rPr>
          <w:lang w:val="en-US"/>
        </w:rPr>
        <w:t xml:space="preserve"> saturation vapor pressure (e</w:t>
      </w:r>
      <w:r w:rsidRPr="002F1E1B">
        <w:rPr>
          <w:vertAlign w:val="subscript"/>
          <w:lang w:val="en-US"/>
        </w:rPr>
        <w:t>s</w:t>
      </w:r>
      <w:r w:rsidRPr="002F1E1B">
        <w:rPr>
          <w:lang w:val="en-US"/>
        </w:rPr>
        <w:t>)</w:t>
      </w:r>
      <w:r>
        <w:rPr>
          <w:lang w:val="en-US"/>
        </w:rPr>
        <w:t xml:space="preserve"> as,</w:t>
      </w:r>
    </w:p>
    <w:tbl>
      <w:tblPr>
        <w:tblStyle w:val="TableGrid"/>
        <w:tblpPr w:leftFromText="288" w:rightFromText="288" w:vertAnchor="page" w:horzAnchor="margin" w:tblpXSpec="center" w:tblpY="8654"/>
        <w:tblOverlap w:val="never"/>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826"/>
        <w:gridCol w:w="534"/>
      </w:tblGrid>
      <w:tr w:rsidR="00E44A6E" w:rsidRPr="002F1E1B" w14:paraId="3BD2F272" w14:textId="77777777" w:rsidTr="00E44A6E">
        <w:trPr>
          <w:jc w:val="center"/>
        </w:trPr>
        <w:tc>
          <w:tcPr>
            <w:tcW w:w="8826" w:type="dxa"/>
            <w:vAlign w:val="center"/>
            <w:hideMark/>
          </w:tcPr>
          <w:p w14:paraId="7E428B6B" w14:textId="77777777" w:rsidR="00E44A6E" w:rsidRPr="002F1E1B" w:rsidRDefault="00000000" w:rsidP="00E44A6E">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e>
                        </m:d>
                      </m:e>
                    </m:d>
                  </m:e>
                </m:func>
              </m:oMath>
            </m:oMathPara>
          </w:p>
        </w:tc>
        <w:tc>
          <w:tcPr>
            <w:tcW w:w="534" w:type="dxa"/>
            <w:vAlign w:val="center"/>
          </w:tcPr>
          <w:p w14:paraId="59EB8826" w14:textId="663BB06A" w:rsidR="00E44A6E" w:rsidRPr="00236F59" w:rsidRDefault="00E44A6E" w:rsidP="00E44A6E">
            <w:pPr>
              <w:pStyle w:val="Caption-Equation2"/>
            </w:pPr>
            <w:bookmarkStart w:id="141" w:name="_Ref108505477"/>
            <w:r w:rsidRPr="00236F59">
              <w:t>(A</w:t>
            </w:r>
            <w:r w:rsidRPr="00236F59">
              <w:fldChar w:fldCharType="begin"/>
            </w:r>
            <w:r w:rsidRPr="00236F59">
              <w:instrText xml:space="preserve"> SEQ Equation_A \* ARABIC </w:instrText>
            </w:r>
            <w:r w:rsidRPr="00236F59">
              <w:fldChar w:fldCharType="separate"/>
            </w:r>
            <w:r w:rsidR="00DB4BE3">
              <w:rPr>
                <w:noProof/>
              </w:rPr>
              <w:t>1</w:t>
            </w:r>
            <w:r w:rsidRPr="00236F59">
              <w:fldChar w:fldCharType="end"/>
            </w:r>
            <w:r w:rsidRPr="00236F59">
              <w:t>)</w:t>
            </w:r>
            <w:bookmarkEnd w:id="141"/>
          </w:p>
        </w:tc>
      </w:tr>
    </w:tbl>
    <w:p w14:paraId="76F713CE" w14:textId="77777777" w:rsidR="00B6694F" w:rsidRPr="002F1E1B" w:rsidRDefault="00B6694F" w:rsidP="00B6694F">
      <w:pPr>
        <w:pStyle w:val="Body"/>
        <w:rPr>
          <w:lang w:val="en-US"/>
        </w:rPr>
      </w:pPr>
      <w:r>
        <w:rPr>
          <w:lang w:val="en-US"/>
        </w:rPr>
        <w:t>Additionally, the</w:t>
      </w:r>
      <w:r w:rsidRPr="002F1E1B">
        <w:rPr>
          <w:lang w:val="en-US"/>
        </w:rPr>
        <w:t xml:space="preserve"> Clausius-Clapeyron equation relates dew point temperature (T</w:t>
      </w:r>
      <w:r w:rsidRPr="002F1E1B">
        <w:rPr>
          <w:vertAlign w:val="subscript"/>
          <w:lang w:val="en-US"/>
        </w:rPr>
        <w:t>d</w:t>
      </w:r>
      <w:r w:rsidRPr="002F1E1B">
        <w:rPr>
          <w:lang w:val="en-US"/>
        </w:rPr>
        <w:t xml:space="preserve">) and vapor pressure (e) </w:t>
      </w:r>
      <w:r>
        <w:rPr>
          <w:lang w:val="en-US"/>
        </w:rPr>
        <w:t>as,</w:t>
      </w:r>
    </w:p>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383BB10D" w14:textId="77777777" w:rsidTr="00BA53A2">
        <w:trPr>
          <w:jc w:val="center"/>
        </w:trPr>
        <w:tc>
          <w:tcPr>
            <w:tcW w:w="8906" w:type="dxa"/>
            <w:vAlign w:val="center"/>
            <w:hideMark/>
          </w:tcPr>
          <w:p w14:paraId="7FBFB268" w14:textId="77777777" w:rsidR="00B6694F" w:rsidRPr="002F1E1B" w:rsidRDefault="00B6694F" w:rsidP="00BA53A2">
            <w:pPr>
              <w:rPr>
                <w:rFonts w:ascii="Times New Roman" w:eastAsia="Times New Roman" w:hAnsi="Times New Roman" w:cs="Times New Roman"/>
                <w:i/>
                <w:kern w:val="0"/>
                <w:lang w:val="en-US" w:eastAsia="fr-FR" w:bidi="ar-SA"/>
              </w:rPr>
            </w:pPr>
            <m:oMathPara>
              <m:oMath>
                <m:r>
                  <w:rPr>
                    <w:rFonts w:ascii="Cambria Math" w:hAnsi="Cambria Math"/>
                    <w:lang w:val="en-US"/>
                  </w:rPr>
                  <m:t>e(</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den>
                            </m:f>
                          </m:e>
                        </m:d>
                      </m:e>
                    </m:d>
                  </m:e>
                </m:func>
              </m:oMath>
            </m:oMathPara>
          </w:p>
        </w:tc>
        <w:tc>
          <w:tcPr>
            <w:tcW w:w="454" w:type="dxa"/>
            <w:vAlign w:val="center"/>
          </w:tcPr>
          <w:p w14:paraId="782C3830" w14:textId="126156D6" w:rsidR="00B6694F" w:rsidRPr="002F1E1B" w:rsidRDefault="00B6694F" w:rsidP="00BA53A2">
            <w:pPr>
              <w:pStyle w:val="Caption-Equation2"/>
            </w:pPr>
            <w:bookmarkStart w:id="142" w:name="_Ref108505494"/>
            <w:bookmarkStart w:id="143" w:name="_Ref108505488"/>
            <w:r w:rsidRPr="002F1E1B">
              <w:t>(A</w:t>
            </w:r>
            <w:r w:rsidRPr="002F1E1B">
              <w:fldChar w:fldCharType="begin"/>
            </w:r>
            <w:r w:rsidRPr="002F1E1B">
              <w:instrText xml:space="preserve"> SEQ Equation \* ARABIC </w:instrText>
            </w:r>
            <w:r w:rsidRPr="002F1E1B">
              <w:fldChar w:fldCharType="separate"/>
            </w:r>
            <w:r w:rsidR="00DB4BE3">
              <w:rPr>
                <w:noProof/>
              </w:rPr>
              <w:t>2</w:t>
            </w:r>
            <w:r w:rsidRPr="002F1E1B">
              <w:fldChar w:fldCharType="end"/>
            </w:r>
            <w:bookmarkEnd w:id="142"/>
            <w:r w:rsidRPr="002F1E1B">
              <w:t>)</w:t>
            </w:r>
            <w:bookmarkEnd w:id="143"/>
          </w:p>
          <w:p w14:paraId="537485BE" w14:textId="77777777" w:rsidR="00B6694F" w:rsidRPr="002F1E1B" w:rsidRDefault="00B6694F" w:rsidP="00BA53A2">
            <w:pPr>
              <w:keepNext/>
              <w:jc w:val="right"/>
              <w:rPr>
                <w:rFonts w:ascii="Times New Roman" w:eastAsia="Times New Roman" w:hAnsi="Times New Roman" w:cs="Times New Roman"/>
                <w:lang w:val="en-US"/>
              </w:rPr>
            </w:pPr>
          </w:p>
        </w:tc>
      </w:tr>
    </w:tbl>
    <w:p w14:paraId="65041032" w14:textId="77777777" w:rsidR="00B6694F" w:rsidRPr="002F1E1B" w:rsidRDefault="00B6694F" w:rsidP="00B6694F">
      <w:pPr>
        <w:pStyle w:val="Body"/>
        <w:ind w:firstLine="0"/>
        <w:rPr>
          <w:lang w:val="en-US"/>
        </w:rPr>
      </w:pPr>
      <w:r w:rsidRPr="002F1E1B">
        <w:rPr>
          <w:lang w:val="en-US"/>
        </w:rPr>
        <w:t>where e</w:t>
      </w:r>
      <w:r w:rsidRPr="002F1E1B">
        <w:rPr>
          <w:vertAlign w:val="subscript"/>
          <w:lang w:val="en-US"/>
        </w:rPr>
        <w:t>0</w:t>
      </w:r>
      <w:r w:rsidRPr="002F1E1B">
        <w:rPr>
          <w:lang w:val="en-US"/>
        </w:rPr>
        <w:t xml:space="preserve"> = 6.11 </w:t>
      </w:r>
      <w:proofErr w:type="spellStart"/>
      <w:r w:rsidRPr="002F1E1B">
        <w:rPr>
          <w:lang w:val="en-US"/>
        </w:rPr>
        <w:t>hPa</w:t>
      </w:r>
      <w:proofErr w:type="spellEnd"/>
      <w:r w:rsidRPr="002F1E1B">
        <w:rPr>
          <w:lang w:val="en-US"/>
        </w:rPr>
        <w:t xml:space="preserve"> is the vapor pressure at the triple point of water, l</w:t>
      </w:r>
      <w:r w:rsidRPr="002F1E1B">
        <w:rPr>
          <w:vertAlign w:val="subscript"/>
          <w:lang w:val="en-US"/>
        </w:rPr>
        <w:t>v</w:t>
      </w:r>
      <w:r w:rsidRPr="002F1E1B">
        <w:rPr>
          <w:lang w:val="en-US"/>
        </w:rPr>
        <w:t xml:space="preserve"> = 2.501 </w:t>
      </w:r>
      <w:r w:rsidRPr="002F1E1B">
        <w:rPr>
          <w:rFonts w:eastAsia="Noto Sans CJK SC" w:cs="Times New Roman"/>
          <w:lang w:val="en-US"/>
        </w:rPr>
        <w:t>× 10</w:t>
      </w:r>
      <w:r w:rsidRPr="002F1E1B">
        <w:rPr>
          <w:rFonts w:eastAsia="Noto Sans CJK SC" w:cs="Times New Roman"/>
          <w:vertAlign w:val="superscript"/>
          <w:lang w:val="en-US"/>
        </w:rPr>
        <w:t>6</w:t>
      </w:r>
      <w:r w:rsidRPr="002F1E1B">
        <w:rPr>
          <w:rFonts w:eastAsia="Noto Sans CJK SC" w:cs="Times New Roman"/>
          <w:lang w:val="en-US"/>
        </w:rPr>
        <w:t xml:space="preserve"> J/kg</w:t>
      </w:r>
      <w:r w:rsidRPr="002F1E1B">
        <w:rPr>
          <w:lang w:val="en-US"/>
        </w:rPr>
        <w:t xml:space="preserve"> is the latent heat of vaporization, </w:t>
      </w:r>
      <w:proofErr w:type="spellStart"/>
      <w:r w:rsidRPr="002F1E1B">
        <w:rPr>
          <w:lang w:val="en-US"/>
        </w:rPr>
        <w:t>R</w:t>
      </w:r>
      <w:r w:rsidRPr="002F1E1B">
        <w:rPr>
          <w:vertAlign w:val="subscript"/>
          <w:lang w:val="en-US"/>
        </w:rPr>
        <w:t>v</w:t>
      </w:r>
      <w:proofErr w:type="spellEnd"/>
      <w:r w:rsidRPr="002F1E1B">
        <w:rPr>
          <w:lang w:val="en-US"/>
        </w:rPr>
        <w:t xml:space="preserve"> = 461.5 J/kg/K is the gas constant for moist air, and T</w:t>
      </w:r>
      <w:r w:rsidRPr="002F1E1B">
        <w:rPr>
          <w:vertAlign w:val="subscript"/>
          <w:lang w:val="en-US"/>
        </w:rPr>
        <w:t>0</w:t>
      </w:r>
      <w:r w:rsidRPr="002F1E1B">
        <w:rPr>
          <w:lang w:val="en-US"/>
        </w:rPr>
        <w:t xml:space="preserve"> = 273.16 K is the air temperature at the triple point of water.</w:t>
      </w:r>
    </w:p>
    <w:p w14:paraId="67EE2B26" w14:textId="0A511D1C" w:rsidR="00B6694F" w:rsidRPr="002F1E1B" w:rsidRDefault="00B6694F" w:rsidP="00B6694F">
      <w:pPr>
        <w:pStyle w:val="Body"/>
        <w:rPr>
          <w:lang w:val="en-US"/>
        </w:rPr>
      </w:pPr>
      <w:r w:rsidRPr="002F1E1B">
        <w:rPr>
          <w:lang w:val="en-US"/>
        </w:rPr>
        <w:lastRenderedPageBreak/>
        <w:t>The saturation vapor pressure at the ice-bulb (</w:t>
      </w:r>
      <w:proofErr w:type="spellStart"/>
      <w:r w:rsidRPr="002F1E1B">
        <w:rPr>
          <w:lang w:val="en-US"/>
        </w:rPr>
        <w:t>e</w:t>
      </w:r>
      <w:r w:rsidRPr="002F1E1B">
        <w:rPr>
          <w:vertAlign w:val="subscript"/>
          <w:lang w:val="en-US"/>
        </w:rPr>
        <w:t>IB</w:t>
      </w:r>
      <w:proofErr w:type="spellEnd"/>
      <w:r w:rsidRPr="002F1E1B">
        <w:rPr>
          <w:lang w:val="en-US"/>
        </w:rPr>
        <w:t>) and wet-bulb (</w:t>
      </w:r>
      <w:proofErr w:type="spellStart"/>
      <w:r w:rsidRPr="002F1E1B">
        <w:rPr>
          <w:lang w:val="en-US"/>
        </w:rPr>
        <w:t>e</w:t>
      </w:r>
      <w:r w:rsidRPr="002F1E1B">
        <w:rPr>
          <w:vertAlign w:val="subscript"/>
          <w:lang w:val="en-US"/>
        </w:rPr>
        <w:t>WB</w:t>
      </w:r>
      <w:proofErr w:type="spellEnd"/>
      <w:r w:rsidRPr="002F1E1B">
        <w:rPr>
          <w:lang w:val="en-US"/>
        </w:rPr>
        <w:t xml:space="preserve">) temperatures follows the form of </w:t>
      </w:r>
      <w:r w:rsidR="0097795C">
        <w:rPr>
          <w:lang w:val="en-US"/>
        </w:rPr>
        <w:fldChar w:fldCharType="begin"/>
      </w:r>
      <w:r w:rsidR="0097795C">
        <w:rPr>
          <w:lang w:val="en-US"/>
        </w:rPr>
        <w:instrText xml:space="preserve"> REF _Ref108505477 \h </w:instrText>
      </w:r>
      <w:r w:rsidR="0097795C">
        <w:rPr>
          <w:lang w:val="en-US"/>
        </w:rPr>
      </w:r>
      <w:r w:rsidR="0097795C">
        <w:rPr>
          <w:lang w:val="en-US"/>
        </w:rPr>
        <w:fldChar w:fldCharType="separate"/>
      </w:r>
      <w:r w:rsidR="00DB4BE3" w:rsidRPr="00236F59">
        <w:t>(A</w:t>
      </w:r>
      <w:r w:rsidR="00DB4BE3">
        <w:rPr>
          <w:noProof/>
        </w:rPr>
        <w:t>1</w:t>
      </w:r>
      <w:r w:rsidR="00DB4BE3" w:rsidRPr="00236F59">
        <w:t>)</w:t>
      </w:r>
      <w:r w:rsidR="0097795C">
        <w:rPr>
          <w:lang w:val="en-US"/>
        </w:rPr>
        <w:fldChar w:fldCharType="end"/>
      </w:r>
      <w:r w:rsidRPr="002F1E1B">
        <w:rPr>
          <w:lang w:val="en-US"/>
        </w:rPr>
        <w:t xml:space="preserve"> and </w:t>
      </w:r>
      <w:r w:rsidR="0097795C">
        <w:rPr>
          <w:lang w:val="en-US"/>
        </w:rPr>
        <w:fldChar w:fldCharType="begin"/>
      </w:r>
      <w:r w:rsidR="0097795C">
        <w:rPr>
          <w:lang w:val="en-US"/>
        </w:rPr>
        <w:instrText xml:space="preserve"> REF _Ref108505488 \h </w:instrText>
      </w:r>
      <w:r w:rsidR="0097795C">
        <w:rPr>
          <w:lang w:val="en-US"/>
        </w:rPr>
      </w:r>
      <w:r w:rsidR="0097795C">
        <w:rPr>
          <w:lang w:val="en-US"/>
        </w:rPr>
        <w:fldChar w:fldCharType="separate"/>
      </w:r>
      <w:r w:rsidR="00DB4BE3" w:rsidRPr="002F1E1B">
        <w:t>(A</w:t>
      </w:r>
      <w:r w:rsidR="00DB4BE3">
        <w:rPr>
          <w:noProof/>
        </w:rPr>
        <w:t>2</w:t>
      </w:r>
      <w:r w:rsidR="00DB4BE3" w:rsidRPr="002F1E1B">
        <w:t>)</w:t>
      </w:r>
      <w:r w:rsidR="0097795C">
        <w:rPr>
          <w:lang w:val="en-US"/>
        </w:rPr>
        <w:fldChar w:fldCharType="end"/>
      </w:r>
      <w:r w:rsidRPr="002F1E1B">
        <w:rPr>
          <w:lang w:val="en-US"/>
        </w:rPr>
        <w:t xml:space="preserve"> as a function of ice-bulb temperature (T</w:t>
      </w:r>
      <w:r w:rsidRPr="002F1E1B">
        <w:rPr>
          <w:vertAlign w:val="subscript"/>
          <w:lang w:val="en-US"/>
        </w:rPr>
        <w:t>IB</w:t>
      </w:r>
      <w:r w:rsidRPr="002F1E1B">
        <w:rPr>
          <w:lang w:val="en-US"/>
        </w:rPr>
        <w:t>) and wet-bulb temperature (T</w:t>
      </w:r>
      <w:r w:rsidRPr="002F1E1B">
        <w:rPr>
          <w:vertAlign w:val="subscript"/>
          <w:lang w:val="en-US"/>
        </w:rPr>
        <w:t>WB</w:t>
      </w:r>
      <w:r w:rsidRPr="002F1E1B">
        <w:rPr>
          <w:lang w:val="en-US"/>
        </w:rPr>
        <w:t xml:space="preserve">), respectively and are given by </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7ADEB402" w14:textId="77777777" w:rsidTr="00BA53A2">
        <w:tc>
          <w:tcPr>
            <w:tcW w:w="8906" w:type="dxa"/>
            <w:vAlign w:val="center"/>
            <w:hideMark/>
          </w:tcPr>
          <w:p w14:paraId="36FA3A9B"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den>
                            </m:f>
                          </m:e>
                        </m:d>
                      </m:e>
                    </m:d>
                  </m:e>
                </m:func>
              </m:oMath>
            </m:oMathPara>
          </w:p>
        </w:tc>
        <w:tc>
          <w:tcPr>
            <w:tcW w:w="454" w:type="dxa"/>
            <w:vAlign w:val="center"/>
          </w:tcPr>
          <w:p w14:paraId="38A71211" w14:textId="0F8B7884" w:rsidR="00B6694F" w:rsidRPr="002F1E1B" w:rsidRDefault="00B6694F" w:rsidP="00BA53A2">
            <w:pPr>
              <w:pStyle w:val="Caption-Equation2"/>
            </w:pPr>
            <w:bookmarkStart w:id="144" w:name="_Ref102409563"/>
            <w:bookmarkStart w:id="145" w:name="_Ref102409559"/>
            <w:r w:rsidRPr="002F1E1B">
              <w:t>(A</w:t>
            </w:r>
            <w:r w:rsidRPr="002F1E1B">
              <w:fldChar w:fldCharType="begin"/>
            </w:r>
            <w:r w:rsidRPr="002F1E1B">
              <w:instrText xml:space="preserve"> SEQ Equation \* ARABIC </w:instrText>
            </w:r>
            <w:r w:rsidRPr="002F1E1B">
              <w:fldChar w:fldCharType="separate"/>
            </w:r>
            <w:r w:rsidR="00DB4BE3">
              <w:rPr>
                <w:noProof/>
              </w:rPr>
              <w:t>3</w:t>
            </w:r>
            <w:r w:rsidRPr="002F1E1B">
              <w:fldChar w:fldCharType="end"/>
            </w:r>
            <w:bookmarkEnd w:id="144"/>
            <w:r w:rsidRPr="002F1E1B">
              <w:t>)</w:t>
            </w:r>
            <w:bookmarkEnd w:id="145"/>
          </w:p>
          <w:p w14:paraId="7C6CF422"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34BC32A8" w14:textId="77777777" w:rsidTr="00BA53A2">
        <w:trPr>
          <w:jc w:val="center"/>
        </w:trPr>
        <w:tc>
          <w:tcPr>
            <w:tcW w:w="8906" w:type="dxa"/>
            <w:vAlign w:val="center"/>
            <w:hideMark/>
          </w:tcPr>
          <w:p w14:paraId="4CACB413"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den>
                            </m:f>
                          </m:e>
                        </m:d>
                      </m:e>
                    </m:d>
                  </m:e>
                </m:func>
              </m:oMath>
            </m:oMathPara>
          </w:p>
        </w:tc>
        <w:tc>
          <w:tcPr>
            <w:tcW w:w="454" w:type="dxa"/>
            <w:vAlign w:val="center"/>
          </w:tcPr>
          <w:p w14:paraId="188526C7" w14:textId="259FE083" w:rsidR="00B6694F" w:rsidRPr="002F1E1B" w:rsidRDefault="00B6694F" w:rsidP="00BA53A2">
            <w:pPr>
              <w:pStyle w:val="Caption-Equation2"/>
            </w:pPr>
            <w:bookmarkStart w:id="146" w:name="_Ref102409601"/>
            <w:bookmarkStart w:id="147" w:name="_Ref108505709"/>
            <w:r w:rsidRPr="002F1E1B">
              <w:t>(A</w:t>
            </w:r>
            <w:r w:rsidRPr="002F1E1B">
              <w:fldChar w:fldCharType="begin"/>
            </w:r>
            <w:r w:rsidRPr="002F1E1B">
              <w:instrText xml:space="preserve"> SEQ Equation \* ARABIC </w:instrText>
            </w:r>
            <w:r w:rsidRPr="002F1E1B">
              <w:fldChar w:fldCharType="separate"/>
            </w:r>
            <w:r w:rsidR="00DB4BE3">
              <w:rPr>
                <w:noProof/>
              </w:rPr>
              <w:t>4</w:t>
            </w:r>
            <w:r w:rsidRPr="002F1E1B">
              <w:fldChar w:fldCharType="end"/>
            </w:r>
            <w:bookmarkEnd w:id="146"/>
            <w:r w:rsidRPr="002F1E1B">
              <w:t>)</w:t>
            </w:r>
            <w:bookmarkEnd w:id="147"/>
          </w:p>
          <w:p w14:paraId="472D6D05" w14:textId="77777777" w:rsidR="00B6694F" w:rsidRPr="002F1E1B" w:rsidRDefault="00B6694F" w:rsidP="00BA53A2">
            <w:pPr>
              <w:keepNext/>
              <w:jc w:val="right"/>
              <w:rPr>
                <w:rFonts w:ascii="Times New Roman" w:eastAsia="Times New Roman" w:hAnsi="Times New Roman" w:cs="Times New Roman"/>
                <w:lang w:val="en-US"/>
              </w:rPr>
            </w:pPr>
          </w:p>
        </w:tc>
      </w:tr>
    </w:tbl>
    <w:p w14:paraId="32F028B4" w14:textId="1A071981" w:rsidR="00B6694F" w:rsidRPr="002F1E1B" w:rsidRDefault="00B6694F" w:rsidP="00B6694F">
      <w:pPr>
        <w:pStyle w:val="Body"/>
        <w:ind w:firstLine="0"/>
        <w:rPr>
          <w:lang w:val="en-US"/>
        </w:rPr>
      </w:pPr>
      <w:r w:rsidRPr="002F1E1B">
        <w:rPr>
          <w:lang w:val="en-US"/>
        </w:rPr>
        <w:t xml:space="preserve">The ice-bulb and wet-bulb saturation vapor pressure equations </w:t>
      </w:r>
      <w:r w:rsidR="007C3051">
        <w:rPr>
          <w:lang w:val="en-US"/>
        </w:rPr>
        <w:fldChar w:fldCharType="begin"/>
      </w:r>
      <w:r w:rsidR="007C3051">
        <w:rPr>
          <w:lang w:val="en-US"/>
        </w:rPr>
        <w:instrText xml:space="preserve"> REF _Ref102409559 \h </w:instrText>
      </w:r>
      <w:r w:rsidR="007C3051">
        <w:rPr>
          <w:lang w:val="en-US"/>
        </w:rPr>
      </w:r>
      <w:r w:rsidR="007C3051">
        <w:rPr>
          <w:lang w:val="en-US"/>
        </w:rPr>
        <w:fldChar w:fldCharType="separate"/>
      </w:r>
      <w:r w:rsidR="00DB4BE3" w:rsidRPr="002F1E1B">
        <w:t>(A</w:t>
      </w:r>
      <w:r w:rsidR="00DB4BE3">
        <w:rPr>
          <w:noProof/>
        </w:rPr>
        <w:t>3</w:t>
      </w:r>
      <w:r w:rsidR="00DB4BE3" w:rsidRPr="002F1E1B">
        <w:t>)</w:t>
      </w:r>
      <w:r w:rsidR="007C3051">
        <w:rPr>
          <w:lang w:val="en-US"/>
        </w:rPr>
        <w:fldChar w:fldCharType="end"/>
      </w:r>
      <w:r w:rsidR="009320C3">
        <w:rPr>
          <w:lang w:val="en-US"/>
        </w:rPr>
        <w:t xml:space="preserve"> and </w:t>
      </w:r>
      <w:r w:rsidR="007C3051">
        <w:rPr>
          <w:lang w:val="en-US"/>
        </w:rPr>
        <w:fldChar w:fldCharType="begin"/>
      </w:r>
      <w:r w:rsidR="007C3051">
        <w:rPr>
          <w:lang w:val="en-US"/>
        </w:rPr>
        <w:instrText xml:space="preserve"> REF _Ref108505709 \h </w:instrText>
      </w:r>
      <w:r w:rsidR="007C3051">
        <w:rPr>
          <w:lang w:val="en-US"/>
        </w:rPr>
      </w:r>
      <w:r w:rsidR="007C3051">
        <w:rPr>
          <w:lang w:val="en-US"/>
        </w:rPr>
        <w:fldChar w:fldCharType="separate"/>
      </w:r>
      <w:r w:rsidR="00DB4BE3" w:rsidRPr="002F1E1B">
        <w:t>(A</w:t>
      </w:r>
      <w:r w:rsidR="00DB4BE3">
        <w:rPr>
          <w:noProof/>
        </w:rPr>
        <w:t>4</w:t>
      </w:r>
      <w:r w:rsidR="00DB4BE3" w:rsidRPr="002F1E1B">
        <w:t>)</w:t>
      </w:r>
      <w:r w:rsidR="007C3051">
        <w:rPr>
          <w:lang w:val="en-US"/>
        </w:rPr>
        <w:fldChar w:fldCharType="end"/>
      </w:r>
      <w:r w:rsidRPr="002F1E1B">
        <w:rPr>
          <w:lang w:val="en-US"/>
        </w:rPr>
        <w:t xml:space="preserve"> are rearranged to equal zero by subtracting the vapor pressure on both sides to provide</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7AFA3A88" w14:textId="77777777" w:rsidTr="00BA53A2">
        <w:tc>
          <w:tcPr>
            <w:tcW w:w="8906" w:type="dxa"/>
            <w:vAlign w:val="center"/>
            <w:hideMark/>
          </w:tcPr>
          <w:p w14:paraId="42565AC8"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den>
                            </m:f>
                          </m:e>
                        </m:d>
                      </m:e>
                    </m:d>
                  </m:e>
                </m:fun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e>
                </m:d>
                <m:r>
                  <w:rPr>
                    <w:rFonts w:ascii="Cambria Math" w:hAnsi="Cambria Math"/>
                    <w:lang w:val="en-US"/>
                  </w:rPr>
                  <m:t>=0</m:t>
                </m:r>
              </m:oMath>
            </m:oMathPara>
          </w:p>
        </w:tc>
        <w:tc>
          <w:tcPr>
            <w:tcW w:w="454" w:type="dxa"/>
            <w:vAlign w:val="center"/>
          </w:tcPr>
          <w:p w14:paraId="05E578E3" w14:textId="5C0FE2AB" w:rsidR="00B6694F" w:rsidRPr="002F1E1B" w:rsidRDefault="00B6694F" w:rsidP="00BA53A2">
            <w:pPr>
              <w:pStyle w:val="Caption-Equation2"/>
            </w:pPr>
            <w:bookmarkStart w:id="148" w:name="_Ref102409984"/>
            <w:bookmarkStart w:id="149" w:name="_Ref108505722"/>
            <w:r w:rsidRPr="002F1E1B">
              <w:t>(A</w:t>
            </w:r>
            <w:r w:rsidRPr="002F1E1B">
              <w:fldChar w:fldCharType="begin"/>
            </w:r>
            <w:r w:rsidRPr="002F1E1B">
              <w:instrText xml:space="preserve"> SEQ Equation \* ARABIC </w:instrText>
            </w:r>
            <w:r w:rsidRPr="002F1E1B">
              <w:fldChar w:fldCharType="separate"/>
            </w:r>
            <w:r w:rsidR="00DB4BE3">
              <w:rPr>
                <w:noProof/>
              </w:rPr>
              <w:t>5</w:t>
            </w:r>
            <w:r w:rsidRPr="002F1E1B">
              <w:fldChar w:fldCharType="end"/>
            </w:r>
            <w:bookmarkEnd w:id="148"/>
            <w:r w:rsidRPr="002F1E1B">
              <w:t>)</w:t>
            </w:r>
            <w:bookmarkEnd w:id="149"/>
          </w:p>
          <w:p w14:paraId="4F5B41DA"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2D981A8B" w14:textId="77777777" w:rsidTr="00BA53A2">
        <w:trPr>
          <w:jc w:val="center"/>
        </w:trPr>
        <w:tc>
          <w:tcPr>
            <w:tcW w:w="8906" w:type="dxa"/>
            <w:vAlign w:val="center"/>
            <w:hideMark/>
          </w:tcPr>
          <w:p w14:paraId="6CA47AA6"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den>
                            </m:f>
                          </m:e>
                        </m:d>
                      </m:e>
                    </m:d>
                  </m:e>
                </m:fun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e>
                </m:d>
                <m:r>
                  <w:rPr>
                    <w:rFonts w:ascii="Cambria Math" w:hAnsi="Cambria Math"/>
                    <w:lang w:val="en-US"/>
                  </w:rPr>
                  <m:t>=0</m:t>
                </m:r>
              </m:oMath>
            </m:oMathPara>
          </w:p>
        </w:tc>
        <w:tc>
          <w:tcPr>
            <w:tcW w:w="454" w:type="dxa"/>
            <w:vAlign w:val="center"/>
          </w:tcPr>
          <w:p w14:paraId="7D022D42" w14:textId="7FEEA2D9" w:rsidR="00B6694F" w:rsidRPr="002F1E1B" w:rsidRDefault="00B6694F" w:rsidP="00BA53A2">
            <w:pPr>
              <w:pStyle w:val="Caption-Equation2"/>
            </w:pPr>
            <w:bookmarkStart w:id="150" w:name="_Ref102409985"/>
            <w:bookmarkStart w:id="151" w:name="_Ref108505728"/>
            <w:r w:rsidRPr="002F1E1B">
              <w:t>(A</w:t>
            </w:r>
            <w:r w:rsidRPr="002F1E1B">
              <w:fldChar w:fldCharType="begin"/>
            </w:r>
            <w:r w:rsidRPr="002F1E1B">
              <w:instrText xml:space="preserve"> SEQ Equation \* ARABIC </w:instrText>
            </w:r>
            <w:r w:rsidRPr="002F1E1B">
              <w:fldChar w:fldCharType="separate"/>
            </w:r>
            <w:r w:rsidR="00DB4BE3">
              <w:rPr>
                <w:noProof/>
              </w:rPr>
              <w:t>6</w:t>
            </w:r>
            <w:r w:rsidRPr="002F1E1B">
              <w:fldChar w:fldCharType="end"/>
            </w:r>
            <w:bookmarkEnd w:id="150"/>
            <w:r w:rsidRPr="002F1E1B">
              <w:t>)</w:t>
            </w:r>
            <w:bookmarkEnd w:id="151"/>
          </w:p>
          <w:p w14:paraId="578F4006" w14:textId="77777777" w:rsidR="00B6694F" w:rsidRPr="002F1E1B" w:rsidRDefault="00B6694F" w:rsidP="00BA53A2">
            <w:pPr>
              <w:keepNext/>
              <w:jc w:val="right"/>
              <w:rPr>
                <w:rFonts w:ascii="Times New Roman" w:eastAsia="Times New Roman" w:hAnsi="Times New Roman" w:cs="Times New Roman"/>
                <w:lang w:val="en-US"/>
              </w:rPr>
            </w:pPr>
          </w:p>
        </w:tc>
      </w:tr>
    </w:tbl>
    <w:p w14:paraId="3F3F23B5" w14:textId="0CDDA2DE" w:rsidR="00B6694F" w:rsidRPr="002F1E1B" w:rsidRDefault="007C3051" w:rsidP="00B6694F">
      <w:pPr>
        <w:pStyle w:val="Body"/>
        <w:ind w:firstLine="0"/>
        <w:rPr>
          <w:lang w:val="en-US"/>
        </w:rPr>
      </w:pPr>
      <w:r>
        <w:rPr>
          <w:lang w:val="en-US"/>
        </w:rPr>
        <w:fldChar w:fldCharType="begin"/>
      </w:r>
      <w:r>
        <w:rPr>
          <w:lang w:val="en-US"/>
        </w:rPr>
        <w:instrText xml:space="preserve"> REF _Ref108505722 \h </w:instrText>
      </w:r>
      <w:r>
        <w:rPr>
          <w:lang w:val="en-US"/>
        </w:rPr>
      </w:r>
      <w:r>
        <w:rPr>
          <w:lang w:val="en-US"/>
        </w:rPr>
        <w:fldChar w:fldCharType="separate"/>
      </w:r>
      <w:r w:rsidR="00DB4BE3" w:rsidRPr="002F1E1B">
        <w:t>(A</w:t>
      </w:r>
      <w:r w:rsidR="00DB4BE3">
        <w:rPr>
          <w:noProof/>
        </w:rPr>
        <w:t>5</w:t>
      </w:r>
      <w:r w:rsidR="00DB4BE3" w:rsidRPr="002F1E1B">
        <w:t>)</w:t>
      </w:r>
      <w:r>
        <w:rPr>
          <w:lang w:val="en-US"/>
        </w:rPr>
        <w:fldChar w:fldCharType="end"/>
      </w:r>
      <w:r w:rsidR="00B6694F" w:rsidRPr="002F1E1B">
        <w:rPr>
          <w:lang w:val="en-US"/>
        </w:rPr>
        <w:t xml:space="preserve"> and </w:t>
      </w:r>
      <w:r>
        <w:rPr>
          <w:lang w:val="en-US"/>
        </w:rPr>
        <w:fldChar w:fldCharType="begin"/>
      </w:r>
      <w:r>
        <w:rPr>
          <w:lang w:val="en-US"/>
        </w:rPr>
        <w:instrText xml:space="preserve"> REF _Ref108505728 \h </w:instrText>
      </w:r>
      <w:r>
        <w:rPr>
          <w:lang w:val="en-US"/>
        </w:rPr>
      </w:r>
      <w:r>
        <w:rPr>
          <w:lang w:val="en-US"/>
        </w:rPr>
        <w:fldChar w:fldCharType="separate"/>
      </w:r>
      <w:r w:rsidR="00DB4BE3" w:rsidRPr="002F1E1B">
        <w:t>(A</w:t>
      </w:r>
      <w:r w:rsidR="00DB4BE3">
        <w:rPr>
          <w:noProof/>
        </w:rPr>
        <w:t>6</w:t>
      </w:r>
      <w:r w:rsidR="00DB4BE3" w:rsidRPr="002F1E1B">
        <w:t>)</w:t>
      </w:r>
      <w:r>
        <w:rPr>
          <w:lang w:val="en-US"/>
        </w:rPr>
        <w:fldChar w:fldCharType="end"/>
      </w:r>
      <w:r w:rsidR="00B6694F" w:rsidRPr="002F1E1B">
        <w:rPr>
          <w:lang w:val="en-US"/>
        </w:rPr>
        <w:t xml:space="preserve"> is the equation form used in fsolve.</w:t>
      </w:r>
    </w:p>
    <w:p w14:paraId="7449AF17" w14:textId="77777777" w:rsidR="00B6694F" w:rsidRPr="002F1E1B" w:rsidRDefault="00B6694F" w:rsidP="00B6694F">
      <w:pPr>
        <w:pStyle w:val="Body"/>
        <w:rPr>
          <w:lang w:val="en-US"/>
        </w:rPr>
      </w:pPr>
      <w:r w:rsidRPr="002F1E1B">
        <w:rPr>
          <w:lang w:val="en-US"/>
        </w:rPr>
        <w:t>The psychrometric formula relates the vapor pressure to atmospheric pressure, air temperature, saturation vapor pressure at the ice-bulb or wet-bulb temperature and are given by</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2D86A332" w14:textId="77777777" w:rsidTr="00BA53A2">
        <w:tc>
          <w:tcPr>
            <w:tcW w:w="8906" w:type="dxa"/>
            <w:vAlign w:val="center"/>
            <w:hideMark/>
          </w:tcPr>
          <w:p w14:paraId="49CF0B7A" w14:textId="77777777" w:rsidR="00B6694F" w:rsidRPr="002F1E1B" w:rsidRDefault="00B6694F" w:rsidP="00BA53A2">
            <w:pPr>
              <w:rPr>
                <w:rFonts w:ascii="Times New Roman" w:eastAsia="Times New Roman" w:hAnsi="Times New Roman" w:cs="Times New Roman"/>
                <w:i/>
                <w:kern w:val="0"/>
                <w:lang w:val="en-US" w:eastAsia="fr-FR" w:bidi="ar-SA"/>
              </w:rPr>
            </w:pPr>
            <m:oMathPara>
              <m:oMath>
                <m:r>
                  <w:rPr>
                    <w:rFonts w:ascii="Cambria Math" w:hAnsi="Cambria Math"/>
                    <w:lang w:val="en-US"/>
                  </w:rPr>
                  <m:t xml:space="preserve">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e>
                </m:d>
                <m:r>
                  <w:rPr>
                    <w:rFonts w:ascii="Cambria Math" w:hAnsi="Cambria Math"/>
                    <w:lang w:val="en-US"/>
                  </w:rPr>
                  <m:t>-5.82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oMath>
            </m:oMathPara>
          </w:p>
        </w:tc>
        <w:tc>
          <w:tcPr>
            <w:tcW w:w="454" w:type="dxa"/>
            <w:vAlign w:val="center"/>
          </w:tcPr>
          <w:p w14:paraId="26F8268E" w14:textId="701CE194" w:rsidR="00B6694F" w:rsidRPr="002F1E1B" w:rsidRDefault="00B6694F" w:rsidP="00BA53A2">
            <w:pPr>
              <w:pStyle w:val="Caption-Equation2"/>
            </w:pPr>
            <w:bookmarkStart w:id="152" w:name="_Ref102409802"/>
            <w:bookmarkStart w:id="153" w:name="_Ref108505738"/>
            <w:r w:rsidRPr="002F1E1B">
              <w:t>(A</w:t>
            </w:r>
            <w:r w:rsidRPr="002F1E1B">
              <w:fldChar w:fldCharType="begin"/>
            </w:r>
            <w:r w:rsidRPr="002F1E1B">
              <w:instrText xml:space="preserve"> SEQ Equation \* ARABIC </w:instrText>
            </w:r>
            <w:r w:rsidRPr="002F1E1B">
              <w:fldChar w:fldCharType="separate"/>
            </w:r>
            <w:r w:rsidR="00DB4BE3">
              <w:rPr>
                <w:noProof/>
              </w:rPr>
              <w:t>7</w:t>
            </w:r>
            <w:r w:rsidRPr="002F1E1B">
              <w:fldChar w:fldCharType="end"/>
            </w:r>
            <w:bookmarkEnd w:id="152"/>
            <w:r w:rsidRPr="002F1E1B">
              <w:t>)</w:t>
            </w:r>
            <w:bookmarkEnd w:id="153"/>
          </w:p>
          <w:p w14:paraId="18EBEA42"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1922A060" w14:textId="77777777" w:rsidTr="00BA53A2">
        <w:trPr>
          <w:jc w:val="center"/>
        </w:trPr>
        <w:tc>
          <w:tcPr>
            <w:tcW w:w="8906" w:type="dxa"/>
            <w:vAlign w:val="center"/>
            <w:hideMark/>
          </w:tcPr>
          <w:p w14:paraId="212F7801" w14:textId="77777777" w:rsidR="00B6694F" w:rsidRPr="002F1E1B" w:rsidRDefault="00B6694F" w:rsidP="00BA53A2">
            <w:pPr>
              <w:rPr>
                <w:rFonts w:ascii="Times New Roman" w:eastAsia="Times New Roman" w:hAnsi="Times New Roman" w:cs="Times New Roman"/>
                <w:i/>
                <w:kern w:val="0"/>
                <w:lang w:val="en-US" w:eastAsia="fr-FR" w:bidi="ar-SA"/>
              </w:rPr>
            </w:pPr>
            <m:oMathPara>
              <m:oMath>
                <m:r>
                  <w:rPr>
                    <w:rFonts w:ascii="Cambria Math" w:hAnsi="Cambria Math"/>
                    <w:lang w:val="en-US"/>
                  </w:rPr>
                  <m:t xml:space="preserve">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e>
                </m:d>
                <m:r>
                  <w:rPr>
                    <w:rFonts w:ascii="Cambria Math" w:hAnsi="Cambria Math"/>
                    <w:lang w:val="en-US"/>
                  </w:rPr>
                  <m:t>-6.60×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oMath>
            </m:oMathPara>
          </w:p>
        </w:tc>
        <w:tc>
          <w:tcPr>
            <w:tcW w:w="454" w:type="dxa"/>
            <w:vAlign w:val="center"/>
          </w:tcPr>
          <w:p w14:paraId="351B72BD" w14:textId="380E879E" w:rsidR="00B6694F" w:rsidRPr="002F1E1B" w:rsidRDefault="00B6694F" w:rsidP="00BA53A2">
            <w:pPr>
              <w:pStyle w:val="Caption-Equation2"/>
            </w:pPr>
            <w:bookmarkStart w:id="154" w:name="_Ref102409804"/>
            <w:bookmarkStart w:id="155" w:name="_Ref108505740"/>
            <w:r w:rsidRPr="002F1E1B">
              <w:t>(A</w:t>
            </w:r>
            <w:r w:rsidRPr="002F1E1B">
              <w:fldChar w:fldCharType="begin"/>
            </w:r>
            <w:r w:rsidRPr="002F1E1B">
              <w:instrText xml:space="preserve"> SEQ Equation \* ARABIC </w:instrText>
            </w:r>
            <w:r w:rsidRPr="002F1E1B">
              <w:fldChar w:fldCharType="separate"/>
            </w:r>
            <w:r w:rsidR="00DB4BE3">
              <w:rPr>
                <w:noProof/>
              </w:rPr>
              <w:t>8</w:t>
            </w:r>
            <w:r w:rsidRPr="002F1E1B">
              <w:fldChar w:fldCharType="end"/>
            </w:r>
            <w:bookmarkEnd w:id="154"/>
            <w:r w:rsidRPr="002F1E1B">
              <w:t>)</w:t>
            </w:r>
            <w:bookmarkEnd w:id="155"/>
          </w:p>
          <w:p w14:paraId="790D9539" w14:textId="77777777" w:rsidR="00B6694F" w:rsidRPr="002F1E1B" w:rsidRDefault="00B6694F" w:rsidP="00BA53A2">
            <w:pPr>
              <w:keepNext/>
              <w:jc w:val="right"/>
              <w:rPr>
                <w:rFonts w:ascii="Times New Roman" w:eastAsia="Times New Roman" w:hAnsi="Times New Roman" w:cs="Times New Roman"/>
                <w:lang w:val="en-US"/>
              </w:rPr>
            </w:pPr>
          </w:p>
        </w:tc>
      </w:tr>
    </w:tbl>
    <w:p w14:paraId="606F2F4E" w14:textId="585163E0" w:rsidR="00B6694F" w:rsidRPr="002F1E1B" w:rsidRDefault="00B6694F" w:rsidP="00B6694F">
      <w:pPr>
        <w:pStyle w:val="Body"/>
        <w:ind w:firstLine="0"/>
        <w:rPr>
          <w:lang w:val="en-US"/>
        </w:rPr>
      </w:pPr>
      <w:r w:rsidRPr="002F1E1B">
        <w:rPr>
          <w:lang w:val="en-US"/>
        </w:rPr>
        <w:t xml:space="preserve">The psychrometric formulas </w:t>
      </w:r>
      <w:r w:rsidR="007C3051">
        <w:rPr>
          <w:lang w:val="en-US"/>
        </w:rPr>
        <w:fldChar w:fldCharType="begin"/>
      </w:r>
      <w:r w:rsidR="007C3051">
        <w:rPr>
          <w:lang w:val="en-US"/>
        </w:rPr>
        <w:instrText xml:space="preserve"> REF _Ref108505738 \h </w:instrText>
      </w:r>
      <w:r w:rsidR="007C3051">
        <w:rPr>
          <w:lang w:val="en-US"/>
        </w:rPr>
      </w:r>
      <w:r w:rsidR="007C3051">
        <w:rPr>
          <w:lang w:val="en-US"/>
        </w:rPr>
        <w:fldChar w:fldCharType="separate"/>
      </w:r>
      <w:r w:rsidR="00DB4BE3" w:rsidRPr="002F1E1B">
        <w:t>(A</w:t>
      </w:r>
      <w:r w:rsidR="00DB4BE3">
        <w:rPr>
          <w:noProof/>
        </w:rPr>
        <w:t>7</w:t>
      </w:r>
      <w:r w:rsidR="00DB4BE3" w:rsidRPr="002F1E1B">
        <w:t>)</w:t>
      </w:r>
      <w:r w:rsidR="007C3051">
        <w:rPr>
          <w:lang w:val="en-US"/>
        </w:rPr>
        <w:fldChar w:fldCharType="end"/>
      </w:r>
      <w:r w:rsidR="007C3051">
        <w:rPr>
          <w:lang w:val="en-US"/>
        </w:rPr>
        <w:t xml:space="preserve"> and </w:t>
      </w:r>
      <w:r w:rsidR="007C3051">
        <w:rPr>
          <w:lang w:val="en-US"/>
        </w:rPr>
        <w:fldChar w:fldCharType="begin"/>
      </w:r>
      <w:r w:rsidR="007C3051">
        <w:rPr>
          <w:lang w:val="en-US"/>
        </w:rPr>
        <w:instrText xml:space="preserve"> REF _Ref108505740 \h </w:instrText>
      </w:r>
      <w:r w:rsidR="007C3051">
        <w:rPr>
          <w:lang w:val="en-US"/>
        </w:rPr>
      </w:r>
      <w:r w:rsidR="007C3051">
        <w:rPr>
          <w:lang w:val="en-US"/>
        </w:rPr>
        <w:fldChar w:fldCharType="separate"/>
      </w:r>
      <w:r w:rsidR="00DB4BE3" w:rsidRPr="002F1E1B">
        <w:t>(A</w:t>
      </w:r>
      <w:r w:rsidR="00DB4BE3">
        <w:rPr>
          <w:noProof/>
        </w:rPr>
        <w:t>8</w:t>
      </w:r>
      <w:r w:rsidR="00DB4BE3" w:rsidRPr="002F1E1B">
        <w:t>)</w:t>
      </w:r>
      <w:r w:rsidR="007C3051">
        <w:rPr>
          <w:lang w:val="en-US"/>
        </w:rPr>
        <w:fldChar w:fldCharType="end"/>
      </w:r>
      <w:r w:rsidRPr="002F1E1B">
        <w:rPr>
          <w:lang w:val="en-US"/>
        </w:rPr>
        <w:t xml:space="preserve"> </w:t>
      </w:r>
      <w:r w:rsidR="007C3051">
        <w:rPr>
          <w:lang w:val="en-US"/>
        </w:rPr>
        <w:t>are</w:t>
      </w:r>
      <w:r w:rsidRPr="002F1E1B">
        <w:rPr>
          <w:lang w:val="en-US"/>
        </w:rPr>
        <w:t xml:space="preserve"> similarly rearranged to equal zero by subtracting vapor pressure from both sides to get the form used in the numerical solver,</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132ECFA4" w14:textId="77777777" w:rsidTr="00BA53A2">
        <w:tc>
          <w:tcPr>
            <w:tcW w:w="8906" w:type="dxa"/>
            <w:vAlign w:val="center"/>
            <w:hideMark/>
          </w:tcPr>
          <w:p w14:paraId="2476B887"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e>
                </m:d>
                <m:r>
                  <w:rPr>
                    <w:rFonts w:ascii="Cambria Math" w:hAnsi="Cambria Math"/>
                    <w:lang w:val="en-US"/>
                  </w:rPr>
                  <m:t>-5.82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w:rPr>
                    <w:rFonts w:ascii="Cambria Math" w:hAnsi="Cambria Math"/>
                    <w:lang w:val="en-US"/>
                  </w:rPr>
                  <m:t>=0</m:t>
                </m:r>
              </m:oMath>
            </m:oMathPara>
          </w:p>
        </w:tc>
        <w:tc>
          <w:tcPr>
            <w:tcW w:w="454" w:type="dxa"/>
            <w:vAlign w:val="center"/>
          </w:tcPr>
          <w:p w14:paraId="7991C9D0" w14:textId="023921EC" w:rsidR="00B6694F" w:rsidRPr="002F1E1B" w:rsidRDefault="00B6694F" w:rsidP="00BA53A2">
            <w:pPr>
              <w:pStyle w:val="Caption-Equation2"/>
            </w:pPr>
            <w:bookmarkStart w:id="156" w:name="_Ref102410072"/>
            <w:bookmarkStart w:id="157" w:name="_Ref108505783"/>
            <w:r w:rsidRPr="002F1E1B">
              <w:t>(A</w:t>
            </w:r>
            <w:r w:rsidRPr="002F1E1B">
              <w:fldChar w:fldCharType="begin"/>
            </w:r>
            <w:r w:rsidRPr="002F1E1B">
              <w:instrText xml:space="preserve"> SEQ Equation \* ARABIC </w:instrText>
            </w:r>
            <w:r w:rsidRPr="002F1E1B">
              <w:fldChar w:fldCharType="separate"/>
            </w:r>
            <w:r w:rsidR="00DB4BE3">
              <w:rPr>
                <w:noProof/>
              </w:rPr>
              <w:t>9</w:t>
            </w:r>
            <w:r w:rsidRPr="002F1E1B">
              <w:fldChar w:fldCharType="end"/>
            </w:r>
            <w:bookmarkEnd w:id="156"/>
            <w:r w:rsidRPr="002F1E1B">
              <w:t>)</w:t>
            </w:r>
            <w:bookmarkEnd w:id="157"/>
          </w:p>
          <w:p w14:paraId="68F8284C"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786"/>
        <w:gridCol w:w="574"/>
      </w:tblGrid>
      <w:tr w:rsidR="00B6694F" w:rsidRPr="002F1E1B" w14:paraId="504730C4" w14:textId="77777777" w:rsidTr="00BA53A2">
        <w:trPr>
          <w:jc w:val="center"/>
        </w:trPr>
        <w:tc>
          <w:tcPr>
            <w:tcW w:w="8906" w:type="dxa"/>
            <w:vAlign w:val="center"/>
            <w:hideMark/>
          </w:tcPr>
          <w:p w14:paraId="05E08CDD"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e>
                </m:d>
                <m:r>
                  <w:rPr>
                    <w:rFonts w:ascii="Cambria Math" w:hAnsi="Cambria Math"/>
                    <w:lang w:val="en-US"/>
                  </w:rPr>
                  <m:t>-6.60×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w:rPr>
                    <w:rFonts w:ascii="Cambria Math" w:hAnsi="Cambria Math"/>
                    <w:lang w:val="en-US"/>
                  </w:rPr>
                  <m:t>=0</m:t>
                </m:r>
              </m:oMath>
            </m:oMathPara>
          </w:p>
        </w:tc>
        <w:tc>
          <w:tcPr>
            <w:tcW w:w="454" w:type="dxa"/>
            <w:vAlign w:val="center"/>
          </w:tcPr>
          <w:p w14:paraId="1288BC4D" w14:textId="28797BFC" w:rsidR="00B6694F" w:rsidRPr="002F1E1B" w:rsidRDefault="00B6694F" w:rsidP="00BA53A2">
            <w:pPr>
              <w:pStyle w:val="Caption-Equation2"/>
            </w:pPr>
            <w:bookmarkStart w:id="158" w:name="_Ref102410093"/>
            <w:bookmarkStart w:id="159" w:name="_Ref108505796"/>
            <w:r w:rsidRPr="002F1E1B">
              <w:t>(A</w:t>
            </w:r>
            <w:r w:rsidRPr="002F1E1B">
              <w:fldChar w:fldCharType="begin"/>
            </w:r>
            <w:r w:rsidRPr="002F1E1B">
              <w:instrText xml:space="preserve"> SEQ Equation \* ARABIC </w:instrText>
            </w:r>
            <w:r w:rsidRPr="002F1E1B">
              <w:fldChar w:fldCharType="separate"/>
            </w:r>
            <w:r w:rsidR="00DB4BE3">
              <w:rPr>
                <w:noProof/>
              </w:rPr>
              <w:t>10</w:t>
            </w:r>
            <w:r w:rsidRPr="002F1E1B">
              <w:fldChar w:fldCharType="end"/>
            </w:r>
            <w:bookmarkEnd w:id="158"/>
            <w:r w:rsidRPr="002F1E1B">
              <w:t>)</w:t>
            </w:r>
            <w:bookmarkEnd w:id="159"/>
          </w:p>
          <w:p w14:paraId="22AC8A6D" w14:textId="77777777" w:rsidR="00B6694F" w:rsidRPr="002F1E1B" w:rsidRDefault="00B6694F" w:rsidP="00BA53A2">
            <w:pPr>
              <w:keepNext/>
              <w:jc w:val="right"/>
              <w:rPr>
                <w:rFonts w:ascii="Times New Roman" w:eastAsia="Times New Roman" w:hAnsi="Times New Roman" w:cs="Times New Roman"/>
                <w:lang w:val="en-US"/>
              </w:rPr>
            </w:pPr>
          </w:p>
        </w:tc>
      </w:tr>
    </w:tbl>
    <w:p w14:paraId="5626BFBF" w14:textId="6FE1C18F" w:rsidR="00B6694F" w:rsidRDefault="00B6694F" w:rsidP="00B6694F">
      <w:pPr>
        <w:pStyle w:val="Body"/>
        <w:ind w:firstLine="0"/>
        <w:rPr>
          <w:lang w:val="en-US"/>
        </w:rPr>
      </w:pPr>
      <w:r w:rsidRPr="002F1E1B">
        <w:rPr>
          <w:lang w:val="en-US"/>
        </w:rPr>
        <w:t xml:space="preserve">The numerical solver returns the ice-bulb temperature using </w:t>
      </w:r>
      <w:r w:rsidR="00A13919">
        <w:rPr>
          <w:lang w:val="en-US"/>
        </w:rPr>
        <w:fldChar w:fldCharType="begin"/>
      </w:r>
      <w:r w:rsidR="00A13919">
        <w:rPr>
          <w:lang w:val="en-US"/>
        </w:rPr>
        <w:instrText xml:space="preserve"> REF _Ref108505722 \h </w:instrText>
      </w:r>
      <w:r w:rsidR="00A13919">
        <w:rPr>
          <w:lang w:val="en-US"/>
        </w:rPr>
      </w:r>
      <w:r w:rsidR="00A13919">
        <w:rPr>
          <w:lang w:val="en-US"/>
        </w:rPr>
        <w:fldChar w:fldCharType="separate"/>
      </w:r>
      <w:r w:rsidR="00DB4BE3" w:rsidRPr="002F1E1B">
        <w:t>(A</w:t>
      </w:r>
      <w:r w:rsidR="00DB4BE3">
        <w:rPr>
          <w:noProof/>
        </w:rPr>
        <w:t>5</w:t>
      </w:r>
      <w:r w:rsidR="00DB4BE3" w:rsidRPr="002F1E1B">
        <w:t>)</w:t>
      </w:r>
      <w:r w:rsidR="00A13919">
        <w:rPr>
          <w:lang w:val="en-US"/>
        </w:rPr>
        <w:fldChar w:fldCharType="end"/>
      </w:r>
      <w:r w:rsidRPr="002F1E1B">
        <w:rPr>
          <w:lang w:val="en-US"/>
        </w:rPr>
        <w:t xml:space="preserve"> and </w:t>
      </w:r>
      <w:r w:rsidR="00A13919">
        <w:rPr>
          <w:lang w:val="en-US"/>
        </w:rPr>
        <w:fldChar w:fldCharType="begin"/>
      </w:r>
      <w:r w:rsidR="00A13919">
        <w:rPr>
          <w:lang w:val="en-US"/>
        </w:rPr>
        <w:instrText xml:space="preserve"> REF _Ref108505783 \h </w:instrText>
      </w:r>
      <w:r w:rsidR="00A13919">
        <w:rPr>
          <w:lang w:val="en-US"/>
        </w:rPr>
      </w:r>
      <w:r w:rsidR="00A13919">
        <w:rPr>
          <w:lang w:val="en-US"/>
        </w:rPr>
        <w:fldChar w:fldCharType="separate"/>
      </w:r>
      <w:r w:rsidR="00DB4BE3" w:rsidRPr="002F1E1B">
        <w:t>(A</w:t>
      </w:r>
      <w:r w:rsidR="00DB4BE3">
        <w:rPr>
          <w:noProof/>
        </w:rPr>
        <w:t>9</w:t>
      </w:r>
      <w:r w:rsidR="00DB4BE3" w:rsidRPr="002F1E1B">
        <w:t>)</w:t>
      </w:r>
      <w:r w:rsidR="00A13919">
        <w:rPr>
          <w:lang w:val="en-US"/>
        </w:rPr>
        <w:fldChar w:fldCharType="end"/>
      </w:r>
      <w:r w:rsidRPr="002F1E1B">
        <w:rPr>
          <w:lang w:val="en-US"/>
        </w:rPr>
        <w:t xml:space="preserve"> and the wet-bulb temperature using </w:t>
      </w:r>
      <w:r w:rsidR="00A13919">
        <w:rPr>
          <w:lang w:val="en-US"/>
        </w:rPr>
        <w:fldChar w:fldCharType="begin"/>
      </w:r>
      <w:r w:rsidR="00A13919">
        <w:rPr>
          <w:lang w:val="en-US"/>
        </w:rPr>
        <w:instrText xml:space="preserve"> REF _Ref108505728 \h </w:instrText>
      </w:r>
      <w:r w:rsidR="00A13919">
        <w:rPr>
          <w:lang w:val="en-US"/>
        </w:rPr>
      </w:r>
      <w:r w:rsidR="00A13919">
        <w:rPr>
          <w:lang w:val="en-US"/>
        </w:rPr>
        <w:fldChar w:fldCharType="separate"/>
      </w:r>
      <w:r w:rsidR="00DB4BE3" w:rsidRPr="002F1E1B">
        <w:t>(A</w:t>
      </w:r>
      <w:r w:rsidR="00DB4BE3">
        <w:rPr>
          <w:noProof/>
        </w:rPr>
        <w:t>6</w:t>
      </w:r>
      <w:r w:rsidR="00DB4BE3" w:rsidRPr="002F1E1B">
        <w:t>)</w:t>
      </w:r>
      <w:r w:rsidR="00A13919">
        <w:rPr>
          <w:lang w:val="en-US"/>
        </w:rPr>
        <w:fldChar w:fldCharType="end"/>
      </w:r>
      <w:r w:rsidRPr="002F1E1B">
        <w:rPr>
          <w:lang w:val="en-US"/>
        </w:rPr>
        <w:t xml:space="preserve"> and </w:t>
      </w:r>
      <w:r w:rsidR="00A13919">
        <w:rPr>
          <w:lang w:val="en-US"/>
        </w:rPr>
        <w:fldChar w:fldCharType="begin"/>
      </w:r>
      <w:r w:rsidR="00A13919">
        <w:rPr>
          <w:lang w:val="en-US"/>
        </w:rPr>
        <w:instrText xml:space="preserve"> REF _Ref108505796 \h </w:instrText>
      </w:r>
      <w:r w:rsidR="00A13919">
        <w:rPr>
          <w:lang w:val="en-US"/>
        </w:rPr>
      </w:r>
      <w:r w:rsidR="00A13919">
        <w:rPr>
          <w:lang w:val="en-US"/>
        </w:rPr>
        <w:fldChar w:fldCharType="separate"/>
      </w:r>
      <w:r w:rsidR="00DB4BE3" w:rsidRPr="002F1E1B">
        <w:t>(A</w:t>
      </w:r>
      <w:r w:rsidR="00DB4BE3">
        <w:rPr>
          <w:noProof/>
        </w:rPr>
        <w:t>10</w:t>
      </w:r>
      <w:r w:rsidR="00DB4BE3" w:rsidRPr="002F1E1B">
        <w:t>)</w:t>
      </w:r>
      <w:r w:rsidR="00A13919">
        <w:rPr>
          <w:lang w:val="en-US"/>
        </w:rPr>
        <w:fldChar w:fldCharType="end"/>
      </w:r>
      <w:r w:rsidRPr="002F1E1B">
        <w:rPr>
          <w:lang w:val="en-US"/>
        </w:rPr>
        <w:t xml:space="preserve">. </w:t>
      </w:r>
    </w:p>
    <w:p w14:paraId="2796D57C" w14:textId="1B7AF2CD" w:rsidR="00B6694F" w:rsidRPr="002F1E1B" w:rsidRDefault="00B6694F" w:rsidP="00B6694F">
      <w:pPr>
        <w:pStyle w:val="Body"/>
        <w:rPr>
          <w:lang w:val="en-US"/>
        </w:rPr>
      </w:pPr>
      <w:r w:rsidRPr="002F1E1B">
        <w:rPr>
          <w:lang w:val="en-US"/>
        </w:rPr>
        <w:t xml:space="preserve">To </w:t>
      </w:r>
      <w:r w:rsidRPr="00840B63">
        <w:t>verify</w:t>
      </w:r>
      <w:r w:rsidRPr="002F1E1B">
        <w:rPr>
          <w:lang w:val="en-US"/>
        </w:rPr>
        <w:t xml:space="preserve"> the accuracy of the bulbtemp module, results of the wet-bulb calculation are compared to the wet-bulb calculation from the </w:t>
      </w:r>
      <w:proofErr w:type="spellStart"/>
      <w:r w:rsidRPr="002F1E1B">
        <w:rPr>
          <w:lang w:val="en-US"/>
        </w:rPr>
        <w:t>MetPy</w:t>
      </w:r>
      <w:proofErr w:type="spellEnd"/>
      <w:r w:rsidRPr="002F1E1B">
        <w:rPr>
          <w:lang w:val="en-US"/>
        </w:rPr>
        <w:t xml:space="preserve"> Python module (</w:t>
      </w:r>
      <w:r w:rsidRPr="002F1E1B">
        <w:rPr>
          <w:lang w:val="en-US"/>
        </w:rPr>
        <w:fldChar w:fldCharType="begin"/>
      </w:r>
      <w:r w:rsidRPr="002F1E1B">
        <w:rPr>
          <w:lang w:val="en-US"/>
        </w:rPr>
        <w:instrText xml:space="preserve"> REF _Ref103925019 \h </w:instrText>
      </w:r>
      <w:r w:rsidRPr="002F1E1B">
        <w:rPr>
          <w:lang w:val="en-US"/>
        </w:rPr>
      </w:r>
      <w:r w:rsidRPr="002F1E1B">
        <w:rPr>
          <w:lang w:val="en-US"/>
        </w:rPr>
        <w:fldChar w:fldCharType="separate"/>
      </w:r>
      <w:r w:rsidR="00DB4BE3" w:rsidRPr="002F1E1B">
        <w:rPr>
          <w:lang w:val="en-US"/>
        </w:rPr>
        <w:t>Table A</w:t>
      </w:r>
      <w:r w:rsidR="00DB4BE3">
        <w:rPr>
          <w:noProof/>
          <w:lang w:val="en-US"/>
        </w:rPr>
        <w:t>1</w:t>
      </w:r>
      <w:r w:rsidRPr="002F1E1B">
        <w:rPr>
          <w:lang w:val="en-US"/>
        </w:rPr>
        <w:fldChar w:fldCharType="end"/>
      </w:r>
      <w:r w:rsidRPr="002F1E1B">
        <w:rPr>
          <w:lang w:val="en-US"/>
        </w:rPr>
        <w:t xml:space="preserve">). The </w:t>
      </w:r>
      <w:proofErr w:type="spellStart"/>
      <w:r w:rsidRPr="002F1E1B">
        <w:rPr>
          <w:lang w:val="en-US"/>
        </w:rPr>
        <w:t>MetPy</w:t>
      </w:r>
      <w:proofErr w:type="spellEnd"/>
      <w:r w:rsidRPr="002F1E1B">
        <w:rPr>
          <w:lang w:val="en-US"/>
        </w:rPr>
        <w:t xml:space="preserve"> module provides the wet-bulb temperature by lifting a parcel to the lifting condensation level and returning it to the original pressure level in a </w:t>
      </w:r>
      <w:proofErr w:type="spellStart"/>
      <w:r w:rsidRPr="002F1E1B">
        <w:rPr>
          <w:lang w:val="en-US"/>
        </w:rPr>
        <w:t>pseudoadiabatic</w:t>
      </w:r>
      <w:proofErr w:type="spellEnd"/>
      <w:r w:rsidRPr="002F1E1B">
        <w:rPr>
          <w:lang w:val="en-US"/>
        </w:rPr>
        <w:t xml:space="preserve"> process, as would be done in a Skew-T Log-P diagram. The difference between the bulbtemp and </w:t>
      </w:r>
      <w:proofErr w:type="spellStart"/>
      <w:r w:rsidRPr="002F1E1B">
        <w:rPr>
          <w:lang w:val="en-US"/>
        </w:rPr>
        <w:t>MetPy</w:t>
      </w:r>
      <w:proofErr w:type="spellEnd"/>
      <w:r w:rsidRPr="002F1E1B">
        <w:rPr>
          <w:lang w:val="en-US"/>
        </w:rPr>
        <w:t xml:space="preserve"> modules is small for high relative humidity. The ice-bulb and wet-bulb temperatures equal air temperature when the relative humidity is 100 percent, hence only up to 99 percent relative humidity is compared. Choosing the pressure levels of 500 </w:t>
      </w:r>
      <w:proofErr w:type="spellStart"/>
      <w:r w:rsidRPr="002F1E1B">
        <w:rPr>
          <w:lang w:val="en-US"/>
        </w:rPr>
        <w:t>hPa</w:t>
      </w:r>
      <w:proofErr w:type="spellEnd"/>
      <w:r w:rsidRPr="002F1E1B">
        <w:rPr>
          <w:lang w:val="en-US"/>
        </w:rPr>
        <w:t xml:space="preserve"> and 1000 </w:t>
      </w:r>
      <w:proofErr w:type="spellStart"/>
      <w:r w:rsidRPr="002F1E1B">
        <w:rPr>
          <w:lang w:val="en-US"/>
        </w:rPr>
        <w:t>hPa</w:t>
      </w:r>
      <w:proofErr w:type="spellEnd"/>
      <w:r w:rsidRPr="002F1E1B">
        <w:rPr>
          <w:lang w:val="en-US"/>
        </w:rPr>
        <w:t xml:space="preserve"> allows for comparison of the results to figure 1 in </w:t>
      </w:r>
      <w:r w:rsidRPr="002F1E1B">
        <w:rPr>
          <w:lang w:val="en-US"/>
        </w:rPr>
        <w:fldChar w:fldCharType="begin"/>
      </w:r>
      <w:r w:rsidRPr="002F1E1B">
        <w:rPr>
          <w:lang w:val="en-US"/>
        </w:rPr>
        <w:instrText xml:space="preserve"> ADDIN ZOTERO_ITEM CSL_CITATION {"citationID":"C0vheff8","properties":{"formattedCitation":"(Heymsfield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2F1E1B">
        <w:rPr>
          <w:lang w:val="en-US"/>
        </w:rPr>
        <w:fldChar w:fldCharType="separate"/>
      </w:r>
      <w:r w:rsidRPr="002F1E1B">
        <w:rPr>
          <w:rFonts w:cs="Times New Roman"/>
          <w:lang w:val="en-US"/>
        </w:rPr>
        <w:t>Heymsfield et al. (2021)</w:t>
      </w:r>
      <w:r w:rsidRPr="002F1E1B">
        <w:rPr>
          <w:lang w:val="en-US"/>
        </w:rPr>
        <w:fldChar w:fldCharType="end"/>
      </w:r>
      <w:r w:rsidRPr="002F1E1B">
        <w:rPr>
          <w:lang w:val="en-US"/>
        </w:rPr>
        <w:t xml:space="preserve">. For temperatures between 0 °C and 10 °C and relative humidity ranging from 25 percent to 100 percent, bulbtemp deviates slightly from the ice-bulb temperature calculation from </w:t>
      </w:r>
      <w:r w:rsidRPr="002F1E1B">
        <w:rPr>
          <w:lang w:val="en-US"/>
        </w:rPr>
        <w:fldChar w:fldCharType="begin"/>
      </w:r>
      <w:r w:rsidRPr="002F1E1B">
        <w:rPr>
          <w:lang w:val="en-US"/>
        </w:rPr>
        <w:instrText xml:space="preserve"> ADDIN ZOTERO_ITEM CSL_CITATION {"citationID":"xiQshl9i","properties":{"formattedCitation":"(Heymsfield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2F1E1B">
        <w:rPr>
          <w:lang w:val="en-US"/>
        </w:rPr>
        <w:fldChar w:fldCharType="separate"/>
      </w:r>
      <w:r w:rsidRPr="002F1E1B">
        <w:rPr>
          <w:rFonts w:cs="Times New Roman"/>
          <w:lang w:val="en-US"/>
        </w:rPr>
        <w:t>Heymsfield et al. (2021)</w:t>
      </w:r>
      <w:r w:rsidRPr="002F1E1B">
        <w:rPr>
          <w:lang w:val="en-US"/>
        </w:rPr>
        <w:fldChar w:fldCharType="end"/>
      </w:r>
      <w:r w:rsidRPr="002F1E1B">
        <w:rPr>
          <w:lang w:val="en-US"/>
        </w:rPr>
        <w:t xml:space="preserve">. For both 500 </w:t>
      </w:r>
      <w:proofErr w:type="spellStart"/>
      <w:r w:rsidRPr="002F1E1B">
        <w:rPr>
          <w:lang w:val="en-US"/>
        </w:rPr>
        <w:t>hPa</w:t>
      </w:r>
      <w:proofErr w:type="spellEnd"/>
      <w:r w:rsidRPr="002F1E1B">
        <w:rPr>
          <w:lang w:val="en-US"/>
        </w:rPr>
        <w:t xml:space="preserve"> and 1000 </w:t>
      </w:r>
      <w:proofErr w:type="spellStart"/>
      <w:r w:rsidRPr="002F1E1B">
        <w:rPr>
          <w:lang w:val="en-US"/>
        </w:rPr>
        <w:t>hPa</w:t>
      </w:r>
      <w:proofErr w:type="spellEnd"/>
      <w:r w:rsidRPr="002F1E1B">
        <w:rPr>
          <w:lang w:val="en-US"/>
        </w:rPr>
        <w:t xml:space="preserve">, bulbtemp has a maximum deviation of about 0.3 °C higher. The differences are minimized for lower temperatures approaching 0 °C and higher relative humidity values approaching 100 percent. Notably, the bulbtemp ice-bulb temperature is closer to the ice-bulb temperature calculation from </w:t>
      </w:r>
      <w:r w:rsidRPr="002F1E1B">
        <w:rPr>
          <w:lang w:val="en-US"/>
        </w:rPr>
        <w:fldChar w:fldCharType="begin"/>
      </w:r>
      <w:r w:rsidRPr="002F1E1B">
        <w:rPr>
          <w:lang w:val="en-US"/>
        </w:rPr>
        <w:instrText xml:space="preserve"> ADDIN ZOTERO_ITEM CSL_CITATION {"citationID":"TnOjJX3R","properties":{"formattedCitation":"(Heymsfield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2F1E1B">
        <w:rPr>
          <w:lang w:val="en-US"/>
        </w:rPr>
        <w:fldChar w:fldCharType="separate"/>
      </w:r>
      <w:r w:rsidRPr="002F1E1B">
        <w:rPr>
          <w:rFonts w:cs="Times New Roman"/>
          <w:lang w:val="en-US"/>
        </w:rPr>
        <w:t>Heymsfield et al. (2021)</w:t>
      </w:r>
      <w:r w:rsidRPr="002F1E1B">
        <w:rPr>
          <w:lang w:val="en-US"/>
        </w:rPr>
        <w:fldChar w:fldCharType="end"/>
      </w:r>
      <w:r w:rsidRPr="002F1E1B">
        <w:rPr>
          <w:lang w:val="en-US"/>
        </w:rPr>
        <w:t xml:space="preserve"> than the </w:t>
      </w:r>
      <w:proofErr w:type="spellStart"/>
      <w:r w:rsidRPr="002F1E1B">
        <w:rPr>
          <w:lang w:val="en-US"/>
        </w:rPr>
        <w:t>MetPy</w:t>
      </w:r>
      <w:proofErr w:type="spellEnd"/>
      <w:r w:rsidRPr="002F1E1B">
        <w:rPr>
          <w:lang w:val="en-US"/>
        </w:rPr>
        <w:t xml:space="preserve"> wet-bulb temperature results.</w:t>
      </w:r>
    </w:p>
    <w:p w14:paraId="6088BA61" w14:textId="77777777" w:rsidR="00B6694F" w:rsidRPr="002F1E1B" w:rsidRDefault="00B6694F" w:rsidP="00B6694F">
      <w:pPr>
        <w:pStyle w:val="Body"/>
        <w:rPr>
          <w:lang w:val="en-US"/>
        </w:rPr>
      </w:pPr>
      <w:r w:rsidRPr="002F1E1B">
        <w:rPr>
          <w:lang w:val="en-US"/>
        </w:rPr>
        <w:t xml:space="preserve">The developed bulbtemp module efficiently computes wet-bulb and ice-bulb temperatures and works for large datasets such as the in-situ data described in Chapter 2. With the </w:t>
      </w:r>
      <w:r w:rsidRPr="002F1E1B">
        <w:rPr>
          <w:lang w:val="en-US"/>
        </w:rPr>
        <w:lastRenderedPageBreak/>
        <w:t>implementation of bulbtemp in ADPAA and its relatively close agreement with other calculations, it is the module used to calculate the ice-bulb temperature for the in-situ observations.</w:t>
      </w:r>
    </w:p>
    <w:p w14:paraId="1A772F14" w14:textId="0E9223A4" w:rsidR="00B6694F" w:rsidRDefault="00B6694F" w:rsidP="001E73B3">
      <w:pPr>
        <w:pStyle w:val="Caption-Table"/>
        <w:rPr>
          <w:noProof/>
          <w:lang w:val="en-US"/>
        </w:rPr>
      </w:pPr>
      <w:bookmarkStart w:id="160" w:name="_Ref103925019"/>
      <w:bookmarkStart w:id="161" w:name="_Ref104799233"/>
      <w:r w:rsidRPr="002F1E1B">
        <w:rPr>
          <w:lang w:val="en-US"/>
        </w:rPr>
        <w:t>Table A</w:t>
      </w:r>
      <w:r w:rsidRPr="002F1E1B">
        <w:rPr>
          <w:lang w:val="en-US"/>
        </w:rPr>
        <w:fldChar w:fldCharType="begin"/>
      </w:r>
      <w:r w:rsidRPr="002F1E1B">
        <w:rPr>
          <w:lang w:val="en-US"/>
        </w:rPr>
        <w:instrText xml:space="preserve"> SEQ Table_A \* ARABIC </w:instrText>
      </w:r>
      <w:r w:rsidRPr="002F1E1B">
        <w:rPr>
          <w:lang w:val="en-US"/>
        </w:rPr>
        <w:fldChar w:fldCharType="separate"/>
      </w:r>
      <w:r w:rsidR="00DB4BE3">
        <w:rPr>
          <w:noProof/>
          <w:lang w:val="en-US"/>
        </w:rPr>
        <w:t>1</w:t>
      </w:r>
      <w:r w:rsidRPr="002F1E1B">
        <w:rPr>
          <w:lang w:val="en-US"/>
        </w:rPr>
        <w:fldChar w:fldCharType="end"/>
      </w:r>
      <w:bookmarkEnd w:id="160"/>
      <w:r w:rsidRPr="002F1E1B">
        <w:rPr>
          <w:lang w:val="en-US"/>
        </w:rPr>
        <w:t>: Table showing ice-bulb and wet-bulb temperature calculations for relative humidity</w:t>
      </w:r>
      <w:r>
        <w:rPr>
          <w:lang w:val="en-US"/>
        </w:rPr>
        <w:t xml:space="preserve"> (RH)</w:t>
      </w:r>
      <w:r w:rsidRPr="002F1E1B">
        <w:rPr>
          <w:lang w:val="en-US"/>
        </w:rPr>
        <w:t xml:space="preserve"> ranging from 70 to 99 percent for the two pressure levels of 500 and 1</w:t>
      </w:r>
      <w:r w:rsidR="00AB0B26">
        <w:rPr>
          <w:lang w:val="en-US"/>
        </w:rPr>
        <w:t>,</w:t>
      </w:r>
      <w:r w:rsidRPr="002F1E1B">
        <w:rPr>
          <w:lang w:val="en-US"/>
        </w:rPr>
        <w:t xml:space="preserve">000 </w:t>
      </w:r>
      <w:proofErr w:type="spellStart"/>
      <w:r w:rsidRPr="002F1E1B">
        <w:rPr>
          <w:lang w:val="en-US"/>
        </w:rPr>
        <w:t>hPA</w:t>
      </w:r>
      <w:proofErr w:type="spellEnd"/>
      <w:r w:rsidRPr="002F1E1B">
        <w:rPr>
          <w:lang w:val="en-US"/>
        </w:rPr>
        <w:t xml:space="preserve"> and temperatures ranging from</w:t>
      </w:r>
      <w:r w:rsidRPr="002F1E1B">
        <w:rPr>
          <w:noProof/>
          <w:lang w:val="en-US"/>
        </w:rPr>
        <w:t xml:space="preserve"> 0 to 10 °C. The wet-bulb </w:t>
      </w:r>
      <w:r>
        <w:rPr>
          <w:noProof/>
          <w:lang w:val="en-US"/>
        </w:rPr>
        <w:t>difference (Diff.)</w:t>
      </w:r>
      <w:r w:rsidRPr="002F1E1B">
        <w:rPr>
          <w:noProof/>
          <w:lang w:val="en-US"/>
        </w:rPr>
        <w:t xml:space="preserve"> is </w:t>
      </w:r>
      <w:r>
        <w:rPr>
          <w:noProof/>
          <w:lang w:val="en-US"/>
        </w:rPr>
        <w:t xml:space="preserve">the MetPy calculated wet-bulb (Wet-bulb) substracted from the </w:t>
      </w:r>
      <w:r w:rsidRPr="002F1E1B">
        <w:rPr>
          <w:noProof/>
          <w:lang w:val="en-US"/>
        </w:rPr>
        <w:t>MetPy's wet_bulb</w:t>
      </w:r>
      <w:r>
        <w:rPr>
          <w:noProof/>
          <w:lang w:val="en-US"/>
        </w:rPr>
        <w:t xml:space="preserve"> (</w:t>
      </w:r>
      <w:r w:rsidRPr="002F1E1B">
        <w:rPr>
          <w:noProof/>
          <w:lang w:val="en-US"/>
        </w:rPr>
        <w:t xml:space="preserve">MetPy Wet-bulb) </w:t>
      </w:r>
      <w:r>
        <w:rPr>
          <w:noProof/>
          <w:lang w:val="en-US"/>
        </w:rPr>
        <w:t xml:space="preserve">given </w:t>
      </w:r>
      <w:r w:rsidRPr="002F1E1B">
        <w:rPr>
          <w:noProof/>
          <w:lang w:val="en-US"/>
        </w:rPr>
        <w:t>in the last column.</w:t>
      </w:r>
      <w:bookmarkEnd w:id="161"/>
    </w:p>
    <w:tbl>
      <w:tblPr>
        <w:tblpPr w:leftFromText="180" w:rightFromText="180" w:vertAnchor="text" w:tblpXSpec="center" w:tblpY="1"/>
        <w:tblOverlap w:val="never"/>
        <w:tblW w:w="9360" w:type="dxa"/>
        <w:jc w:val="center"/>
        <w:tblCellMar>
          <w:left w:w="0" w:type="dxa"/>
          <w:right w:w="0" w:type="dxa"/>
        </w:tblCellMar>
        <w:tblLook w:val="04A0" w:firstRow="1" w:lastRow="0" w:firstColumn="1" w:lastColumn="0" w:noHBand="0" w:noVBand="1"/>
      </w:tblPr>
      <w:tblGrid>
        <w:gridCol w:w="634"/>
        <w:gridCol w:w="1155"/>
        <w:gridCol w:w="1746"/>
        <w:gridCol w:w="1131"/>
        <w:gridCol w:w="1249"/>
        <w:gridCol w:w="2077"/>
        <w:gridCol w:w="1368"/>
      </w:tblGrid>
      <w:tr w:rsidR="005D372E" w:rsidRPr="005D372E" w14:paraId="48CACFC6" w14:textId="77777777" w:rsidTr="00C545FC">
        <w:trPr>
          <w:trHeight w:val="63"/>
          <w:jc w:val="center"/>
        </w:trPr>
        <w:tc>
          <w:tcPr>
            <w:tcW w:w="520" w:type="dxa"/>
            <w:tcBorders>
              <w:top w:val="single" w:sz="12" w:space="0" w:color="auto"/>
              <w:left w:val="nil"/>
              <w:bottom w:val="nil"/>
              <w:right w:val="nil"/>
            </w:tcBorders>
            <w:shd w:val="clear" w:color="000000" w:fill="FFFFFF"/>
            <w:vAlign w:val="center"/>
            <w:hideMark/>
          </w:tcPr>
          <w:p w14:paraId="527FB9D1"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RH</w:t>
            </w:r>
          </w:p>
        </w:tc>
        <w:tc>
          <w:tcPr>
            <w:tcW w:w="960" w:type="dxa"/>
            <w:tcBorders>
              <w:top w:val="single" w:sz="12" w:space="0" w:color="auto"/>
              <w:left w:val="nil"/>
              <w:bottom w:val="nil"/>
              <w:right w:val="nil"/>
            </w:tcBorders>
            <w:shd w:val="clear" w:color="000000" w:fill="FFFFFF"/>
            <w:vAlign w:val="center"/>
            <w:hideMark/>
          </w:tcPr>
          <w:p w14:paraId="09086AA9"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Pressure</w:t>
            </w:r>
          </w:p>
        </w:tc>
        <w:tc>
          <w:tcPr>
            <w:tcW w:w="1460" w:type="dxa"/>
            <w:tcBorders>
              <w:top w:val="single" w:sz="12" w:space="0" w:color="auto"/>
              <w:left w:val="nil"/>
              <w:bottom w:val="nil"/>
              <w:right w:val="nil"/>
            </w:tcBorders>
            <w:shd w:val="clear" w:color="000000" w:fill="FFFFFF"/>
            <w:vAlign w:val="center"/>
            <w:hideMark/>
          </w:tcPr>
          <w:p w14:paraId="22F07FCE"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Temp</w:t>
            </w:r>
          </w:p>
        </w:tc>
        <w:tc>
          <w:tcPr>
            <w:tcW w:w="940" w:type="dxa"/>
            <w:tcBorders>
              <w:top w:val="single" w:sz="12" w:space="0" w:color="auto"/>
              <w:left w:val="nil"/>
              <w:bottom w:val="nil"/>
              <w:right w:val="nil"/>
            </w:tcBorders>
            <w:shd w:val="clear" w:color="000000" w:fill="FFFFFF"/>
            <w:vAlign w:val="center"/>
            <w:hideMark/>
          </w:tcPr>
          <w:p w14:paraId="7F63D454"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Ice-bulb</w:t>
            </w:r>
          </w:p>
        </w:tc>
        <w:tc>
          <w:tcPr>
            <w:tcW w:w="1040" w:type="dxa"/>
            <w:tcBorders>
              <w:top w:val="single" w:sz="12" w:space="0" w:color="auto"/>
              <w:left w:val="nil"/>
              <w:bottom w:val="nil"/>
              <w:right w:val="nil"/>
            </w:tcBorders>
            <w:shd w:val="clear" w:color="000000" w:fill="FFFFFF"/>
            <w:vAlign w:val="center"/>
            <w:hideMark/>
          </w:tcPr>
          <w:p w14:paraId="33D59A32"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proofErr w:type="gramStart"/>
            <w:r w:rsidRPr="005D372E">
              <w:rPr>
                <w:rFonts w:ascii="Calibri" w:eastAsia="Times New Roman" w:hAnsi="Calibri" w:cs="Calibri"/>
                <w:b/>
                <w:bCs/>
                <w:color w:val="000000"/>
                <w:kern w:val="0"/>
                <w:sz w:val="22"/>
                <w:szCs w:val="22"/>
                <w:lang w:eastAsia="en-US" w:bidi="ar-SA"/>
              </w:rPr>
              <w:t>Wet-bulb</w:t>
            </w:r>
            <w:proofErr w:type="gramEnd"/>
          </w:p>
        </w:tc>
        <w:tc>
          <w:tcPr>
            <w:tcW w:w="1740" w:type="dxa"/>
            <w:tcBorders>
              <w:top w:val="single" w:sz="12" w:space="0" w:color="auto"/>
              <w:left w:val="nil"/>
              <w:bottom w:val="nil"/>
              <w:right w:val="nil"/>
            </w:tcBorders>
            <w:shd w:val="clear" w:color="000000" w:fill="FFFFFF"/>
            <w:vAlign w:val="center"/>
            <w:hideMark/>
          </w:tcPr>
          <w:p w14:paraId="2489376C"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proofErr w:type="spellStart"/>
            <w:r w:rsidRPr="005D372E">
              <w:rPr>
                <w:rFonts w:ascii="Calibri" w:eastAsia="Times New Roman" w:hAnsi="Calibri" w:cs="Calibri"/>
                <w:b/>
                <w:bCs/>
                <w:color w:val="000000"/>
                <w:kern w:val="0"/>
                <w:sz w:val="22"/>
                <w:szCs w:val="22"/>
                <w:lang w:eastAsia="en-US" w:bidi="ar-SA"/>
              </w:rPr>
              <w:t>MetPy</w:t>
            </w:r>
            <w:proofErr w:type="spellEnd"/>
            <w:r w:rsidRPr="005D372E">
              <w:rPr>
                <w:rFonts w:ascii="Calibri" w:eastAsia="Times New Roman" w:hAnsi="Calibri" w:cs="Calibri"/>
                <w:b/>
                <w:bCs/>
                <w:color w:val="000000"/>
                <w:kern w:val="0"/>
                <w:sz w:val="22"/>
                <w:szCs w:val="22"/>
                <w:lang w:eastAsia="en-US" w:bidi="ar-SA"/>
              </w:rPr>
              <w:t xml:space="preserve"> </w:t>
            </w:r>
            <w:proofErr w:type="gramStart"/>
            <w:r w:rsidRPr="005D372E">
              <w:rPr>
                <w:rFonts w:ascii="Calibri" w:eastAsia="Times New Roman" w:hAnsi="Calibri" w:cs="Calibri"/>
                <w:b/>
                <w:bCs/>
                <w:color w:val="000000"/>
                <w:kern w:val="0"/>
                <w:sz w:val="22"/>
                <w:szCs w:val="22"/>
                <w:lang w:eastAsia="en-US" w:bidi="ar-SA"/>
              </w:rPr>
              <w:t>Wet-bulb</w:t>
            </w:r>
            <w:proofErr w:type="gramEnd"/>
          </w:p>
        </w:tc>
        <w:tc>
          <w:tcPr>
            <w:tcW w:w="1140" w:type="dxa"/>
            <w:tcBorders>
              <w:top w:val="single" w:sz="12" w:space="0" w:color="auto"/>
              <w:left w:val="nil"/>
              <w:bottom w:val="nil"/>
              <w:right w:val="nil"/>
            </w:tcBorders>
            <w:shd w:val="clear" w:color="000000" w:fill="FFFFFF"/>
            <w:vAlign w:val="center"/>
            <w:hideMark/>
          </w:tcPr>
          <w:p w14:paraId="3F1FFA1C"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Diff.</w:t>
            </w:r>
          </w:p>
        </w:tc>
      </w:tr>
      <w:tr w:rsidR="005D372E" w:rsidRPr="005D372E" w14:paraId="5B57AF00" w14:textId="77777777" w:rsidTr="00C545FC">
        <w:trPr>
          <w:trHeight w:val="77"/>
          <w:jc w:val="center"/>
        </w:trPr>
        <w:tc>
          <w:tcPr>
            <w:tcW w:w="520" w:type="dxa"/>
            <w:tcBorders>
              <w:top w:val="nil"/>
              <w:left w:val="nil"/>
              <w:bottom w:val="single" w:sz="4" w:space="0" w:color="auto"/>
              <w:right w:val="nil"/>
            </w:tcBorders>
            <w:shd w:val="clear" w:color="000000" w:fill="FFFFFF"/>
            <w:noWrap/>
            <w:vAlign w:val="bottom"/>
            <w:hideMark/>
          </w:tcPr>
          <w:p w14:paraId="2791C356"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w:t>
            </w:r>
          </w:p>
        </w:tc>
        <w:tc>
          <w:tcPr>
            <w:tcW w:w="960" w:type="dxa"/>
            <w:tcBorders>
              <w:top w:val="nil"/>
              <w:left w:val="nil"/>
              <w:bottom w:val="single" w:sz="4" w:space="0" w:color="auto"/>
              <w:right w:val="nil"/>
            </w:tcBorders>
            <w:shd w:val="clear" w:color="000000" w:fill="FFFFFF"/>
            <w:noWrap/>
            <w:vAlign w:val="bottom"/>
            <w:hideMark/>
          </w:tcPr>
          <w:p w14:paraId="1DFF7D01"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proofErr w:type="spellStart"/>
            <w:r w:rsidRPr="005D372E">
              <w:rPr>
                <w:rFonts w:ascii="Calibri" w:eastAsia="Times New Roman" w:hAnsi="Calibri" w:cs="Calibri"/>
                <w:i/>
                <w:iCs/>
                <w:color w:val="000000"/>
                <w:kern w:val="0"/>
                <w:sz w:val="22"/>
                <w:szCs w:val="22"/>
                <w:lang w:eastAsia="en-US" w:bidi="ar-SA"/>
              </w:rPr>
              <w:t>hPA</w:t>
            </w:r>
            <w:proofErr w:type="spellEnd"/>
          </w:p>
        </w:tc>
        <w:tc>
          <w:tcPr>
            <w:tcW w:w="1460" w:type="dxa"/>
            <w:tcBorders>
              <w:top w:val="nil"/>
              <w:left w:val="nil"/>
              <w:bottom w:val="single" w:sz="4" w:space="0" w:color="auto"/>
              <w:right w:val="nil"/>
            </w:tcBorders>
            <w:shd w:val="clear" w:color="000000" w:fill="FFFFFF"/>
            <w:vAlign w:val="bottom"/>
            <w:hideMark/>
          </w:tcPr>
          <w:p w14:paraId="6D6B6321"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940" w:type="dxa"/>
            <w:tcBorders>
              <w:top w:val="nil"/>
              <w:left w:val="nil"/>
              <w:bottom w:val="single" w:sz="4" w:space="0" w:color="auto"/>
              <w:right w:val="nil"/>
            </w:tcBorders>
            <w:shd w:val="clear" w:color="000000" w:fill="FFFFFF"/>
            <w:vAlign w:val="bottom"/>
            <w:hideMark/>
          </w:tcPr>
          <w:p w14:paraId="4BC6EC0A"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1040" w:type="dxa"/>
            <w:tcBorders>
              <w:top w:val="nil"/>
              <w:left w:val="nil"/>
              <w:bottom w:val="single" w:sz="4" w:space="0" w:color="auto"/>
              <w:right w:val="nil"/>
            </w:tcBorders>
            <w:shd w:val="clear" w:color="000000" w:fill="FFFFFF"/>
            <w:vAlign w:val="bottom"/>
            <w:hideMark/>
          </w:tcPr>
          <w:p w14:paraId="295A09A3"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1740" w:type="dxa"/>
            <w:tcBorders>
              <w:top w:val="nil"/>
              <w:left w:val="nil"/>
              <w:bottom w:val="single" w:sz="4" w:space="0" w:color="auto"/>
              <w:right w:val="nil"/>
            </w:tcBorders>
            <w:shd w:val="clear" w:color="000000" w:fill="FFFFFF"/>
            <w:vAlign w:val="bottom"/>
            <w:hideMark/>
          </w:tcPr>
          <w:p w14:paraId="7E30690F"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1140" w:type="dxa"/>
            <w:tcBorders>
              <w:top w:val="nil"/>
              <w:left w:val="nil"/>
              <w:bottom w:val="single" w:sz="4" w:space="0" w:color="auto"/>
              <w:right w:val="nil"/>
            </w:tcBorders>
            <w:shd w:val="clear" w:color="000000" w:fill="FFFFFF"/>
            <w:vAlign w:val="bottom"/>
            <w:hideMark/>
          </w:tcPr>
          <w:p w14:paraId="223B6328"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r>
      <w:tr w:rsidR="005D372E" w:rsidRPr="005D372E" w14:paraId="737F8E81" w14:textId="77777777" w:rsidTr="00B07292">
        <w:trPr>
          <w:trHeight w:val="20"/>
          <w:jc w:val="center"/>
        </w:trPr>
        <w:tc>
          <w:tcPr>
            <w:tcW w:w="520" w:type="dxa"/>
            <w:vMerge w:val="restart"/>
            <w:tcBorders>
              <w:top w:val="nil"/>
              <w:left w:val="nil"/>
              <w:bottom w:val="nil"/>
              <w:right w:val="dotted" w:sz="4" w:space="0" w:color="auto"/>
            </w:tcBorders>
            <w:shd w:val="clear" w:color="auto" w:fill="auto"/>
            <w:noWrap/>
            <w:vAlign w:val="center"/>
            <w:hideMark/>
          </w:tcPr>
          <w:p w14:paraId="4DE1790D"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70</w:t>
            </w:r>
          </w:p>
        </w:tc>
        <w:tc>
          <w:tcPr>
            <w:tcW w:w="960" w:type="dxa"/>
            <w:vMerge w:val="restart"/>
            <w:tcBorders>
              <w:top w:val="nil"/>
              <w:left w:val="nil"/>
              <w:bottom w:val="nil"/>
              <w:right w:val="nil"/>
            </w:tcBorders>
            <w:shd w:val="clear" w:color="000000" w:fill="F2F2F2"/>
            <w:noWrap/>
            <w:vAlign w:val="center"/>
            <w:hideMark/>
          </w:tcPr>
          <w:p w14:paraId="5DEDD0B2"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nil"/>
              <w:left w:val="nil"/>
              <w:bottom w:val="nil"/>
              <w:right w:val="nil"/>
            </w:tcBorders>
            <w:shd w:val="clear" w:color="000000" w:fill="F2F2F2"/>
            <w:noWrap/>
            <w:vAlign w:val="bottom"/>
            <w:hideMark/>
          </w:tcPr>
          <w:p w14:paraId="076C28D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2F2F2"/>
            <w:noWrap/>
            <w:vAlign w:val="bottom"/>
            <w:hideMark/>
          </w:tcPr>
          <w:p w14:paraId="5B6864D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040" w:type="dxa"/>
            <w:tcBorders>
              <w:top w:val="nil"/>
              <w:left w:val="nil"/>
              <w:bottom w:val="nil"/>
              <w:right w:val="nil"/>
            </w:tcBorders>
            <w:shd w:val="clear" w:color="000000" w:fill="F2F2F2"/>
            <w:noWrap/>
            <w:vAlign w:val="bottom"/>
            <w:hideMark/>
          </w:tcPr>
          <w:p w14:paraId="4EF1CC5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740" w:type="dxa"/>
            <w:tcBorders>
              <w:top w:val="nil"/>
              <w:left w:val="nil"/>
              <w:bottom w:val="nil"/>
              <w:right w:val="nil"/>
            </w:tcBorders>
            <w:shd w:val="clear" w:color="000000" w:fill="F2F2F2"/>
            <w:noWrap/>
            <w:vAlign w:val="bottom"/>
            <w:hideMark/>
          </w:tcPr>
          <w:p w14:paraId="2D3A35C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-1.7</w:t>
            </w:r>
          </w:p>
        </w:tc>
        <w:tc>
          <w:tcPr>
            <w:tcW w:w="1140" w:type="dxa"/>
            <w:tcBorders>
              <w:top w:val="nil"/>
              <w:left w:val="nil"/>
              <w:bottom w:val="nil"/>
              <w:right w:val="nil"/>
            </w:tcBorders>
            <w:shd w:val="clear" w:color="000000" w:fill="F2F2F2"/>
            <w:noWrap/>
            <w:vAlign w:val="bottom"/>
            <w:hideMark/>
          </w:tcPr>
          <w:p w14:paraId="2D2EB26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r>
      <w:tr w:rsidR="005D372E" w:rsidRPr="005D372E" w14:paraId="2C872140" w14:textId="77777777" w:rsidTr="00B07292">
        <w:trPr>
          <w:trHeight w:val="20"/>
          <w:jc w:val="center"/>
        </w:trPr>
        <w:tc>
          <w:tcPr>
            <w:tcW w:w="520" w:type="dxa"/>
            <w:vMerge/>
            <w:tcBorders>
              <w:top w:val="nil"/>
              <w:left w:val="nil"/>
              <w:bottom w:val="nil"/>
              <w:right w:val="dotted" w:sz="4" w:space="0" w:color="auto"/>
            </w:tcBorders>
            <w:vAlign w:val="center"/>
            <w:hideMark/>
          </w:tcPr>
          <w:p w14:paraId="7F8AF0AF"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040534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EC86F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3A774DC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c>
          <w:tcPr>
            <w:tcW w:w="1040" w:type="dxa"/>
            <w:tcBorders>
              <w:top w:val="nil"/>
              <w:left w:val="nil"/>
              <w:bottom w:val="nil"/>
              <w:right w:val="nil"/>
            </w:tcBorders>
            <w:shd w:val="clear" w:color="000000" w:fill="F2F2F2"/>
            <w:noWrap/>
            <w:vAlign w:val="bottom"/>
            <w:hideMark/>
          </w:tcPr>
          <w:p w14:paraId="0DF0318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c>
          <w:tcPr>
            <w:tcW w:w="1740" w:type="dxa"/>
            <w:tcBorders>
              <w:top w:val="nil"/>
              <w:left w:val="nil"/>
              <w:bottom w:val="nil"/>
              <w:right w:val="nil"/>
            </w:tcBorders>
            <w:shd w:val="clear" w:color="000000" w:fill="F2F2F2"/>
            <w:noWrap/>
            <w:vAlign w:val="bottom"/>
            <w:hideMark/>
          </w:tcPr>
          <w:p w14:paraId="52A9A8A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140" w:type="dxa"/>
            <w:tcBorders>
              <w:top w:val="nil"/>
              <w:left w:val="nil"/>
              <w:bottom w:val="nil"/>
              <w:right w:val="nil"/>
            </w:tcBorders>
            <w:shd w:val="clear" w:color="000000" w:fill="F2F2F2"/>
            <w:noWrap/>
            <w:vAlign w:val="bottom"/>
            <w:hideMark/>
          </w:tcPr>
          <w:p w14:paraId="51B875A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r>
      <w:tr w:rsidR="005D372E" w:rsidRPr="005D372E" w14:paraId="6BE945B7" w14:textId="77777777" w:rsidTr="00B07292">
        <w:trPr>
          <w:trHeight w:val="20"/>
          <w:jc w:val="center"/>
        </w:trPr>
        <w:tc>
          <w:tcPr>
            <w:tcW w:w="520" w:type="dxa"/>
            <w:vMerge/>
            <w:tcBorders>
              <w:top w:val="nil"/>
              <w:left w:val="nil"/>
              <w:bottom w:val="nil"/>
              <w:right w:val="dotted" w:sz="4" w:space="0" w:color="auto"/>
            </w:tcBorders>
            <w:vAlign w:val="center"/>
            <w:hideMark/>
          </w:tcPr>
          <w:p w14:paraId="57135EF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D2E942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EF66A0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6E4E111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2.1</w:t>
            </w:r>
          </w:p>
        </w:tc>
        <w:tc>
          <w:tcPr>
            <w:tcW w:w="1040" w:type="dxa"/>
            <w:tcBorders>
              <w:top w:val="nil"/>
              <w:left w:val="nil"/>
              <w:bottom w:val="nil"/>
              <w:right w:val="nil"/>
            </w:tcBorders>
            <w:shd w:val="clear" w:color="000000" w:fill="F2F2F2"/>
            <w:noWrap/>
            <w:vAlign w:val="bottom"/>
            <w:hideMark/>
          </w:tcPr>
          <w:p w14:paraId="43F27FF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2.3</w:t>
            </w:r>
          </w:p>
        </w:tc>
        <w:tc>
          <w:tcPr>
            <w:tcW w:w="1740" w:type="dxa"/>
            <w:tcBorders>
              <w:top w:val="nil"/>
              <w:left w:val="nil"/>
              <w:bottom w:val="nil"/>
              <w:right w:val="nil"/>
            </w:tcBorders>
            <w:shd w:val="clear" w:color="000000" w:fill="F2F2F2"/>
            <w:noWrap/>
            <w:vAlign w:val="bottom"/>
            <w:hideMark/>
          </w:tcPr>
          <w:p w14:paraId="4922F9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140" w:type="dxa"/>
            <w:tcBorders>
              <w:top w:val="nil"/>
              <w:left w:val="nil"/>
              <w:bottom w:val="nil"/>
              <w:right w:val="nil"/>
            </w:tcBorders>
            <w:shd w:val="clear" w:color="000000" w:fill="F2F2F2"/>
            <w:noWrap/>
            <w:vAlign w:val="bottom"/>
            <w:hideMark/>
          </w:tcPr>
          <w:p w14:paraId="5DC1B92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655E205A" w14:textId="77777777" w:rsidTr="00B07292">
        <w:trPr>
          <w:trHeight w:val="20"/>
          <w:jc w:val="center"/>
        </w:trPr>
        <w:tc>
          <w:tcPr>
            <w:tcW w:w="520" w:type="dxa"/>
            <w:vMerge/>
            <w:tcBorders>
              <w:top w:val="nil"/>
              <w:left w:val="nil"/>
              <w:bottom w:val="nil"/>
              <w:right w:val="dotted" w:sz="4" w:space="0" w:color="auto"/>
            </w:tcBorders>
            <w:vAlign w:val="center"/>
            <w:hideMark/>
          </w:tcPr>
          <w:p w14:paraId="6F2465E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2673D6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2DAB0EC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1661CB6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1040" w:type="dxa"/>
            <w:tcBorders>
              <w:top w:val="nil"/>
              <w:left w:val="nil"/>
              <w:bottom w:val="nil"/>
              <w:right w:val="nil"/>
            </w:tcBorders>
            <w:shd w:val="clear" w:color="000000" w:fill="F2F2F2"/>
            <w:noWrap/>
            <w:vAlign w:val="bottom"/>
            <w:hideMark/>
          </w:tcPr>
          <w:p w14:paraId="40C4ADE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4.1</w:t>
            </w:r>
          </w:p>
        </w:tc>
        <w:tc>
          <w:tcPr>
            <w:tcW w:w="1740" w:type="dxa"/>
            <w:tcBorders>
              <w:top w:val="nil"/>
              <w:left w:val="nil"/>
              <w:bottom w:val="nil"/>
              <w:right w:val="nil"/>
            </w:tcBorders>
            <w:shd w:val="clear" w:color="000000" w:fill="F2F2F2"/>
            <w:noWrap/>
            <w:vAlign w:val="bottom"/>
            <w:hideMark/>
          </w:tcPr>
          <w:p w14:paraId="544FF99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3.7</w:t>
            </w:r>
          </w:p>
        </w:tc>
        <w:tc>
          <w:tcPr>
            <w:tcW w:w="1140" w:type="dxa"/>
            <w:tcBorders>
              <w:top w:val="nil"/>
              <w:left w:val="nil"/>
              <w:bottom w:val="nil"/>
              <w:right w:val="nil"/>
            </w:tcBorders>
            <w:shd w:val="clear" w:color="000000" w:fill="F2F2F2"/>
            <w:noWrap/>
            <w:vAlign w:val="bottom"/>
            <w:hideMark/>
          </w:tcPr>
          <w:p w14:paraId="1B27EA8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392744A7" w14:textId="77777777" w:rsidTr="00B07292">
        <w:trPr>
          <w:trHeight w:val="20"/>
          <w:jc w:val="center"/>
        </w:trPr>
        <w:tc>
          <w:tcPr>
            <w:tcW w:w="520" w:type="dxa"/>
            <w:vMerge/>
            <w:tcBorders>
              <w:top w:val="nil"/>
              <w:left w:val="nil"/>
              <w:bottom w:val="nil"/>
              <w:right w:val="dotted" w:sz="4" w:space="0" w:color="auto"/>
            </w:tcBorders>
            <w:vAlign w:val="center"/>
            <w:hideMark/>
          </w:tcPr>
          <w:p w14:paraId="670C039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52F1E0F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244F3C6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0ECD979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5.8</w:t>
            </w:r>
          </w:p>
        </w:tc>
        <w:tc>
          <w:tcPr>
            <w:tcW w:w="1040" w:type="dxa"/>
            <w:tcBorders>
              <w:top w:val="nil"/>
              <w:left w:val="nil"/>
              <w:bottom w:val="nil"/>
              <w:right w:val="nil"/>
            </w:tcBorders>
            <w:shd w:val="clear" w:color="000000" w:fill="F2F2F2"/>
            <w:noWrap/>
            <w:vAlign w:val="bottom"/>
            <w:hideMark/>
          </w:tcPr>
          <w:p w14:paraId="003C15C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740" w:type="dxa"/>
            <w:tcBorders>
              <w:top w:val="nil"/>
              <w:left w:val="nil"/>
              <w:bottom w:val="nil"/>
              <w:right w:val="nil"/>
            </w:tcBorders>
            <w:shd w:val="clear" w:color="000000" w:fill="F2F2F2"/>
            <w:noWrap/>
            <w:vAlign w:val="bottom"/>
            <w:hideMark/>
          </w:tcPr>
          <w:p w14:paraId="1C1B478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5.6</w:t>
            </w:r>
          </w:p>
        </w:tc>
        <w:tc>
          <w:tcPr>
            <w:tcW w:w="1140" w:type="dxa"/>
            <w:tcBorders>
              <w:top w:val="nil"/>
              <w:left w:val="nil"/>
              <w:bottom w:val="nil"/>
              <w:right w:val="nil"/>
            </w:tcBorders>
            <w:shd w:val="clear" w:color="000000" w:fill="F2F2F2"/>
            <w:noWrap/>
            <w:vAlign w:val="bottom"/>
            <w:hideMark/>
          </w:tcPr>
          <w:p w14:paraId="5D950680" w14:textId="0C8B60EF"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B27A50">
              <w:rPr>
                <w:rFonts w:ascii="Calibri" w:eastAsia="Times New Roman" w:hAnsi="Calibri" w:cs="Calibri"/>
                <w:color w:val="000000"/>
                <w:kern w:val="0"/>
                <w:sz w:val="22"/>
                <w:szCs w:val="22"/>
                <w:lang w:eastAsia="en-US" w:bidi="ar-SA"/>
              </w:rPr>
              <w:t>3</w:t>
            </w:r>
          </w:p>
        </w:tc>
      </w:tr>
      <w:tr w:rsidR="005D372E" w:rsidRPr="005D372E" w14:paraId="101BCC87" w14:textId="77777777" w:rsidTr="00B07292">
        <w:trPr>
          <w:trHeight w:val="20"/>
          <w:jc w:val="center"/>
        </w:trPr>
        <w:tc>
          <w:tcPr>
            <w:tcW w:w="520" w:type="dxa"/>
            <w:vMerge/>
            <w:tcBorders>
              <w:top w:val="nil"/>
              <w:left w:val="nil"/>
              <w:bottom w:val="nil"/>
              <w:right w:val="dotted" w:sz="4" w:space="0" w:color="auto"/>
            </w:tcBorders>
            <w:vAlign w:val="center"/>
            <w:hideMark/>
          </w:tcPr>
          <w:p w14:paraId="3281809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2D2E734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6A0A1A0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20955C3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7.6</w:t>
            </w:r>
          </w:p>
        </w:tc>
        <w:tc>
          <w:tcPr>
            <w:tcW w:w="1040" w:type="dxa"/>
            <w:tcBorders>
              <w:top w:val="nil"/>
              <w:left w:val="nil"/>
              <w:bottom w:val="nil"/>
              <w:right w:val="nil"/>
            </w:tcBorders>
            <w:shd w:val="clear" w:color="000000" w:fill="F2F2F2"/>
            <w:noWrap/>
            <w:vAlign w:val="bottom"/>
            <w:hideMark/>
          </w:tcPr>
          <w:p w14:paraId="1CFF12A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7.8</w:t>
            </w:r>
          </w:p>
        </w:tc>
        <w:tc>
          <w:tcPr>
            <w:tcW w:w="1740" w:type="dxa"/>
            <w:tcBorders>
              <w:top w:val="nil"/>
              <w:left w:val="nil"/>
              <w:bottom w:val="nil"/>
              <w:right w:val="nil"/>
            </w:tcBorders>
            <w:shd w:val="clear" w:color="000000" w:fill="F2F2F2"/>
            <w:noWrap/>
            <w:vAlign w:val="bottom"/>
            <w:hideMark/>
          </w:tcPr>
          <w:p w14:paraId="007C643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7.4</w:t>
            </w:r>
          </w:p>
        </w:tc>
        <w:tc>
          <w:tcPr>
            <w:tcW w:w="1140" w:type="dxa"/>
            <w:tcBorders>
              <w:top w:val="nil"/>
              <w:left w:val="nil"/>
              <w:bottom w:val="nil"/>
              <w:right w:val="nil"/>
            </w:tcBorders>
            <w:shd w:val="clear" w:color="000000" w:fill="F2F2F2"/>
            <w:noWrap/>
            <w:vAlign w:val="bottom"/>
            <w:hideMark/>
          </w:tcPr>
          <w:p w14:paraId="3F1E7FD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1C6F8ADD" w14:textId="77777777" w:rsidTr="00B07292">
        <w:trPr>
          <w:trHeight w:val="20"/>
          <w:jc w:val="center"/>
        </w:trPr>
        <w:tc>
          <w:tcPr>
            <w:tcW w:w="520" w:type="dxa"/>
            <w:vMerge/>
            <w:tcBorders>
              <w:top w:val="nil"/>
              <w:left w:val="nil"/>
              <w:bottom w:val="nil"/>
              <w:right w:val="dotted" w:sz="4" w:space="0" w:color="auto"/>
            </w:tcBorders>
            <w:vAlign w:val="center"/>
            <w:hideMark/>
          </w:tcPr>
          <w:p w14:paraId="15821F6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nil"/>
              <w:right w:val="nil"/>
            </w:tcBorders>
            <w:shd w:val="clear" w:color="auto" w:fill="auto"/>
            <w:noWrap/>
            <w:vAlign w:val="center"/>
            <w:hideMark/>
          </w:tcPr>
          <w:p w14:paraId="3BFC5DE8"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5BAB67C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59B9C0C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-2.3</w:t>
            </w:r>
          </w:p>
        </w:tc>
        <w:tc>
          <w:tcPr>
            <w:tcW w:w="1040" w:type="dxa"/>
            <w:tcBorders>
              <w:top w:val="nil"/>
              <w:left w:val="nil"/>
              <w:bottom w:val="nil"/>
              <w:right w:val="nil"/>
            </w:tcBorders>
            <w:shd w:val="clear" w:color="000000" w:fill="FFFFFF"/>
            <w:noWrap/>
            <w:vAlign w:val="bottom"/>
            <w:hideMark/>
          </w:tcPr>
          <w:p w14:paraId="4625203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-2.2</w:t>
            </w:r>
          </w:p>
        </w:tc>
        <w:tc>
          <w:tcPr>
            <w:tcW w:w="1740" w:type="dxa"/>
            <w:tcBorders>
              <w:top w:val="nil"/>
              <w:left w:val="nil"/>
              <w:bottom w:val="nil"/>
              <w:right w:val="nil"/>
            </w:tcBorders>
            <w:shd w:val="clear" w:color="000000" w:fill="FFFFFF"/>
            <w:noWrap/>
            <w:vAlign w:val="bottom"/>
            <w:hideMark/>
          </w:tcPr>
          <w:p w14:paraId="1952490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-2.5</w:t>
            </w:r>
          </w:p>
        </w:tc>
        <w:tc>
          <w:tcPr>
            <w:tcW w:w="1140" w:type="dxa"/>
            <w:tcBorders>
              <w:top w:val="nil"/>
              <w:left w:val="nil"/>
              <w:bottom w:val="nil"/>
              <w:right w:val="nil"/>
            </w:tcBorders>
            <w:shd w:val="clear" w:color="000000" w:fill="FFFFFF"/>
            <w:noWrap/>
            <w:vAlign w:val="bottom"/>
            <w:hideMark/>
          </w:tcPr>
          <w:p w14:paraId="04C88A55" w14:textId="066EB355"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B27A50">
              <w:rPr>
                <w:rFonts w:ascii="Calibri" w:eastAsia="Times New Roman" w:hAnsi="Calibri" w:cs="Calibri"/>
                <w:color w:val="000000"/>
                <w:kern w:val="0"/>
                <w:sz w:val="22"/>
                <w:szCs w:val="22"/>
                <w:lang w:eastAsia="en-US" w:bidi="ar-SA"/>
              </w:rPr>
              <w:t>3</w:t>
            </w:r>
          </w:p>
        </w:tc>
      </w:tr>
      <w:tr w:rsidR="005D372E" w:rsidRPr="005D372E" w14:paraId="2512EE26" w14:textId="77777777" w:rsidTr="00B07292">
        <w:trPr>
          <w:trHeight w:val="20"/>
          <w:jc w:val="center"/>
        </w:trPr>
        <w:tc>
          <w:tcPr>
            <w:tcW w:w="520" w:type="dxa"/>
            <w:vMerge/>
            <w:tcBorders>
              <w:top w:val="nil"/>
              <w:left w:val="nil"/>
              <w:bottom w:val="nil"/>
              <w:right w:val="dotted" w:sz="4" w:space="0" w:color="auto"/>
            </w:tcBorders>
            <w:vAlign w:val="center"/>
            <w:hideMark/>
          </w:tcPr>
          <w:p w14:paraId="7E2F0BA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DDF484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9E3DB2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255C270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040" w:type="dxa"/>
            <w:tcBorders>
              <w:top w:val="nil"/>
              <w:left w:val="nil"/>
              <w:bottom w:val="nil"/>
              <w:right w:val="nil"/>
            </w:tcBorders>
            <w:shd w:val="clear" w:color="000000" w:fill="FFFFFF"/>
            <w:noWrap/>
            <w:vAlign w:val="bottom"/>
            <w:hideMark/>
          </w:tcPr>
          <w:p w14:paraId="5B526E5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c>
          <w:tcPr>
            <w:tcW w:w="1740" w:type="dxa"/>
            <w:tcBorders>
              <w:top w:val="nil"/>
              <w:left w:val="nil"/>
              <w:bottom w:val="nil"/>
              <w:right w:val="nil"/>
            </w:tcBorders>
            <w:shd w:val="clear" w:color="000000" w:fill="FFFFFF"/>
            <w:noWrap/>
            <w:vAlign w:val="bottom"/>
            <w:hideMark/>
          </w:tcPr>
          <w:p w14:paraId="0460EDC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140" w:type="dxa"/>
            <w:tcBorders>
              <w:top w:val="nil"/>
              <w:left w:val="nil"/>
              <w:bottom w:val="nil"/>
              <w:right w:val="nil"/>
            </w:tcBorders>
            <w:shd w:val="clear" w:color="000000" w:fill="FFFFFF"/>
            <w:noWrap/>
            <w:vAlign w:val="bottom"/>
            <w:hideMark/>
          </w:tcPr>
          <w:p w14:paraId="158EDF2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78C4EF64" w14:textId="77777777" w:rsidTr="00B07292">
        <w:trPr>
          <w:trHeight w:val="20"/>
          <w:jc w:val="center"/>
        </w:trPr>
        <w:tc>
          <w:tcPr>
            <w:tcW w:w="520" w:type="dxa"/>
            <w:vMerge/>
            <w:tcBorders>
              <w:top w:val="nil"/>
              <w:left w:val="nil"/>
              <w:bottom w:val="nil"/>
              <w:right w:val="dotted" w:sz="4" w:space="0" w:color="auto"/>
            </w:tcBorders>
            <w:vAlign w:val="center"/>
            <w:hideMark/>
          </w:tcPr>
          <w:p w14:paraId="6246F6A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57705B9F"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C77DA8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6D061E0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1.3</w:t>
            </w:r>
          </w:p>
        </w:tc>
        <w:tc>
          <w:tcPr>
            <w:tcW w:w="1040" w:type="dxa"/>
            <w:tcBorders>
              <w:top w:val="nil"/>
              <w:left w:val="nil"/>
              <w:bottom w:val="nil"/>
              <w:right w:val="nil"/>
            </w:tcBorders>
            <w:shd w:val="clear" w:color="000000" w:fill="FFFFFF"/>
            <w:noWrap/>
            <w:vAlign w:val="bottom"/>
            <w:hideMark/>
          </w:tcPr>
          <w:p w14:paraId="1EBA5E2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740" w:type="dxa"/>
            <w:tcBorders>
              <w:top w:val="nil"/>
              <w:left w:val="nil"/>
              <w:bottom w:val="nil"/>
              <w:right w:val="nil"/>
            </w:tcBorders>
            <w:shd w:val="clear" w:color="000000" w:fill="FFFFFF"/>
            <w:noWrap/>
            <w:vAlign w:val="bottom"/>
            <w:hideMark/>
          </w:tcPr>
          <w:p w14:paraId="6EBB3B8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1.1</w:t>
            </w:r>
          </w:p>
        </w:tc>
        <w:tc>
          <w:tcPr>
            <w:tcW w:w="1140" w:type="dxa"/>
            <w:tcBorders>
              <w:top w:val="nil"/>
              <w:left w:val="nil"/>
              <w:bottom w:val="nil"/>
              <w:right w:val="nil"/>
            </w:tcBorders>
            <w:shd w:val="clear" w:color="000000" w:fill="FFFFFF"/>
            <w:noWrap/>
            <w:vAlign w:val="bottom"/>
            <w:hideMark/>
          </w:tcPr>
          <w:p w14:paraId="1FE6EAA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56334617" w14:textId="77777777" w:rsidTr="00B07292">
        <w:trPr>
          <w:trHeight w:val="20"/>
          <w:jc w:val="center"/>
        </w:trPr>
        <w:tc>
          <w:tcPr>
            <w:tcW w:w="520" w:type="dxa"/>
            <w:vMerge/>
            <w:tcBorders>
              <w:top w:val="nil"/>
              <w:left w:val="nil"/>
              <w:bottom w:val="nil"/>
              <w:right w:val="dotted" w:sz="4" w:space="0" w:color="auto"/>
            </w:tcBorders>
            <w:vAlign w:val="center"/>
            <w:hideMark/>
          </w:tcPr>
          <w:p w14:paraId="3620D0A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23F1844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36CDAC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0211101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3.1</w:t>
            </w:r>
          </w:p>
        </w:tc>
        <w:tc>
          <w:tcPr>
            <w:tcW w:w="1040" w:type="dxa"/>
            <w:tcBorders>
              <w:top w:val="nil"/>
              <w:left w:val="nil"/>
              <w:bottom w:val="nil"/>
              <w:right w:val="nil"/>
            </w:tcBorders>
            <w:shd w:val="clear" w:color="000000" w:fill="FFFFFF"/>
            <w:noWrap/>
            <w:vAlign w:val="bottom"/>
            <w:hideMark/>
          </w:tcPr>
          <w:p w14:paraId="63A2B3A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3.3</w:t>
            </w:r>
          </w:p>
        </w:tc>
        <w:tc>
          <w:tcPr>
            <w:tcW w:w="1740" w:type="dxa"/>
            <w:tcBorders>
              <w:top w:val="nil"/>
              <w:left w:val="nil"/>
              <w:bottom w:val="nil"/>
              <w:right w:val="nil"/>
            </w:tcBorders>
            <w:shd w:val="clear" w:color="000000" w:fill="FFFFFF"/>
            <w:noWrap/>
            <w:vAlign w:val="bottom"/>
            <w:hideMark/>
          </w:tcPr>
          <w:p w14:paraId="73D3903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2.9</w:t>
            </w:r>
          </w:p>
        </w:tc>
        <w:tc>
          <w:tcPr>
            <w:tcW w:w="1140" w:type="dxa"/>
            <w:tcBorders>
              <w:top w:val="nil"/>
              <w:left w:val="nil"/>
              <w:bottom w:val="nil"/>
              <w:right w:val="nil"/>
            </w:tcBorders>
            <w:shd w:val="clear" w:color="000000" w:fill="FFFFFF"/>
            <w:noWrap/>
            <w:vAlign w:val="bottom"/>
            <w:hideMark/>
          </w:tcPr>
          <w:p w14:paraId="1651ABA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63BABABC" w14:textId="77777777" w:rsidTr="00B07292">
        <w:trPr>
          <w:trHeight w:val="20"/>
          <w:jc w:val="center"/>
        </w:trPr>
        <w:tc>
          <w:tcPr>
            <w:tcW w:w="520" w:type="dxa"/>
            <w:vMerge/>
            <w:tcBorders>
              <w:top w:val="nil"/>
              <w:left w:val="nil"/>
              <w:bottom w:val="nil"/>
              <w:right w:val="dotted" w:sz="4" w:space="0" w:color="auto"/>
            </w:tcBorders>
            <w:vAlign w:val="center"/>
            <w:hideMark/>
          </w:tcPr>
          <w:p w14:paraId="0814B61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D99C8F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FBEE82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49DCB36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4.9</w:t>
            </w:r>
          </w:p>
        </w:tc>
        <w:tc>
          <w:tcPr>
            <w:tcW w:w="1040" w:type="dxa"/>
            <w:tcBorders>
              <w:top w:val="nil"/>
              <w:left w:val="nil"/>
              <w:bottom w:val="nil"/>
              <w:right w:val="nil"/>
            </w:tcBorders>
            <w:shd w:val="clear" w:color="000000" w:fill="FFFFFF"/>
            <w:noWrap/>
            <w:vAlign w:val="bottom"/>
            <w:hideMark/>
          </w:tcPr>
          <w:p w14:paraId="32DC2A3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5.1</w:t>
            </w:r>
          </w:p>
        </w:tc>
        <w:tc>
          <w:tcPr>
            <w:tcW w:w="1740" w:type="dxa"/>
            <w:tcBorders>
              <w:top w:val="nil"/>
              <w:left w:val="nil"/>
              <w:bottom w:val="nil"/>
              <w:right w:val="nil"/>
            </w:tcBorders>
            <w:shd w:val="clear" w:color="000000" w:fill="FFFFFF"/>
            <w:noWrap/>
            <w:vAlign w:val="bottom"/>
            <w:hideMark/>
          </w:tcPr>
          <w:p w14:paraId="434CAD7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4.7</w:t>
            </w:r>
          </w:p>
        </w:tc>
        <w:tc>
          <w:tcPr>
            <w:tcW w:w="1140" w:type="dxa"/>
            <w:tcBorders>
              <w:top w:val="nil"/>
              <w:left w:val="nil"/>
              <w:bottom w:val="nil"/>
              <w:right w:val="nil"/>
            </w:tcBorders>
            <w:shd w:val="clear" w:color="000000" w:fill="FFFFFF"/>
            <w:noWrap/>
            <w:vAlign w:val="bottom"/>
            <w:hideMark/>
          </w:tcPr>
          <w:p w14:paraId="6FA68EA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06525600" w14:textId="77777777" w:rsidTr="00B07292">
        <w:trPr>
          <w:trHeight w:val="20"/>
          <w:jc w:val="center"/>
        </w:trPr>
        <w:tc>
          <w:tcPr>
            <w:tcW w:w="520" w:type="dxa"/>
            <w:vMerge/>
            <w:tcBorders>
              <w:top w:val="nil"/>
              <w:left w:val="nil"/>
              <w:bottom w:val="nil"/>
              <w:right w:val="dotted" w:sz="4" w:space="0" w:color="auto"/>
            </w:tcBorders>
            <w:vAlign w:val="center"/>
            <w:hideMark/>
          </w:tcPr>
          <w:p w14:paraId="0D9AAF1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023AE0D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7CF69E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FFFFF"/>
            <w:noWrap/>
            <w:vAlign w:val="bottom"/>
            <w:hideMark/>
          </w:tcPr>
          <w:p w14:paraId="5B1E6A5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6.8</w:t>
            </w:r>
          </w:p>
        </w:tc>
        <w:tc>
          <w:tcPr>
            <w:tcW w:w="1040" w:type="dxa"/>
            <w:tcBorders>
              <w:top w:val="nil"/>
              <w:left w:val="nil"/>
              <w:bottom w:val="nil"/>
              <w:right w:val="nil"/>
            </w:tcBorders>
            <w:shd w:val="clear" w:color="000000" w:fill="FFFFFF"/>
            <w:noWrap/>
            <w:vAlign w:val="bottom"/>
            <w:hideMark/>
          </w:tcPr>
          <w:p w14:paraId="38E21E3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6.9</w:t>
            </w:r>
          </w:p>
        </w:tc>
        <w:tc>
          <w:tcPr>
            <w:tcW w:w="1740" w:type="dxa"/>
            <w:tcBorders>
              <w:top w:val="nil"/>
              <w:left w:val="nil"/>
              <w:bottom w:val="nil"/>
              <w:right w:val="nil"/>
            </w:tcBorders>
            <w:shd w:val="clear" w:color="000000" w:fill="FFFFFF"/>
            <w:noWrap/>
            <w:vAlign w:val="bottom"/>
            <w:hideMark/>
          </w:tcPr>
          <w:p w14:paraId="55ACF31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6.5</w:t>
            </w:r>
          </w:p>
        </w:tc>
        <w:tc>
          <w:tcPr>
            <w:tcW w:w="1140" w:type="dxa"/>
            <w:tcBorders>
              <w:top w:val="nil"/>
              <w:left w:val="nil"/>
              <w:bottom w:val="nil"/>
              <w:right w:val="nil"/>
            </w:tcBorders>
            <w:shd w:val="clear" w:color="000000" w:fill="FFFFFF"/>
            <w:noWrap/>
            <w:vAlign w:val="bottom"/>
            <w:hideMark/>
          </w:tcPr>
          <w:p w14:paraId="66F5FF5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5CDD4E62" w14:textId="77777777" w:rsidTr="00B07292">
        <w:trPr>
          <w:trHeight w:val="20"/>
          <w:jc w:val="center"/>
        </w:trPr>
        <w:tc>
          <w:tcPr>
            <w:tcW w:w="520" w:type="dxa"/>
            <w:vMerge w:val="restart"/>
            <w:tcBorders>
              <w:top w:val="dotted" w:sz="4" w:space="0" w:color="auto"/>
              <w:left w:val="nil"/>
              <w:bottom w:val="dotted" w:sz="4" w:space="0" w:color="000000"/>
              <w:right w:val="dotted" w:sz="4" w:space="0" w:color="auto"/>
            </w:tcBorders>
            <w:shd w:val="clear" w:color="auto" w:fill="auto"/>
            <w:noWrap/>
            <w:vAlign w:val="center"/>
            <w:hideMark/>
          </w:tcPr>
          <w:p w14:paraId="1FB9EEDB"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80</w:t>
            </w:r>
          </w:p>
        </w:tc>
        <w:tc>
          <w:tcPr>
            <w:tcW w:w="960" w:type="dxa"/>
            <w:vMerge w:val="restart"/>
            <w:tcBorders>
              <w:top w:val="dotted" w:sz="4" w:space="0" w:color="auto"/>
              <w:left w:val="nil"/>
              <w:bottom w:val="nil"/>
              <w:right w:val="nil"/>
            </w:tcBorders>
            <w:shd w:val="clear" w:color="000000" w:fill="F2F2F2"/>
            <w:noWrap/>
            <w:vAlign w:val="center"/>
            <w:hideMark/>
          </w:tcPr>
          <w:p w14:paraId="3B0D0B85"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dotted" w:sz="4" w:space="0" w:color="auto"/>
              <w:left w:val="nil"/>
              <w:bottom w:val="nil"/>
              <w:right w:val="nil"/>
            </w:tcBorders>
            <w:shd w:val="clear" w:color="000000" w:fill="F2F2F2"/>
            <w:noWrap/>
            <w:vAlign w:val="bottom"/>
            <w:hideMark/>
          </w:tcPr>
          <w:p w14:paraId="7E7FBD7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dotted" w:sz="4" w:space="0" w:color="auto"/>
              <w:left w:val="nil"/>
              <w:bottom w:val="nil"/>
              <w:right w:val="nil"/>
            </w:tcBorders>
            <w:shd w:val="clear" w:color="000000" w:fill="F2F2F2"/>
            <w:noWrap/>
            <w:vAlign w:val="bottom"/>
            <w:hideMark/>
          </w:tcPr>
          <w:p w14:paraId="05954BE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w:t>
            </w:r>
          </w:p>
        </w:tc>
        <w:tc>
          <w:tcPr>
            <w:tcW w:w="1040" w:type="dxa"/>
            <w:tcBorders>
              <w:top w:val="dotted" w:sz="4" w:space="0" w:color="auto"/>
              <w:left w:val="nil"/>
              <w:bottom w:val="nil"/>
              <w:right w:val="nil"/>
            </w:tcBorders>
            <w:shd w:val="clear" w:color="000000" w:fill="F2F2F2"/>
            <w:noWrap/>
            <w:vAlign w:val="bottom"/>
            <w:hideMark/>
          </w:tcPr>
          <w:p w14:paraId="4B8D177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-0.9</w:t>
            </w:r>
          </w:p>
        </w:tc>
        <w:tc>
          <w:tcPr>
            <w:tcW w:w="1740" w:type="dxa"/>
            <w:tcBorders>
              <w:top w:val="dotted" w:sz="4" w:space="0" w:color="auto"/>
              <w:left w:val="nil"/>
              <w:bottom w:val="nil"/>
              <w:right w:val="nil"/>
            </w:tcBorders>
            <w:shd w:val="clear" w:color="000000" w:fill="F2F2F2"/>
            <w:noWrap/>
            <w:vAlign w:val="bottom"/>
            <w:hideMark/>
          </w:tcPr>
          <w:p w14:paraId="7EC9D51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-1.1</w:t>
            </w:r>
          </w:p>
        </w:tc>
        <w:tc>
          <w:tcPr>
            <w:tcW w:w="1140" w:type="dxa"/>
            <w:tcBorders>
              <w:top w:val="dotted" w:sz="4" w:space="0" w:color="auto"/>
              <w:left w:val="nil"/>
              <w:bottom w:val="nil"/>
              <w:right w:val="nil"/>
            </w:tcBorders>
            <w:shd w:val="clear" w:color="000000" w:fill="F2F2F2"/>
            <w:noWrap/>
            <w:vAlign w:val="bottom"/>
            <w:hideMark/>
          </w:tcPr>
          <w:p w14:paraId="2000E1A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534EA42C"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3114DE7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08A7656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8EA090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6568CE2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0.9</w:t>
            </w:r>
          </w:p>
        </w:tc>
        <w:tc>
          <w:tcPr>
            <w:tcW w:w="1040" w:type="dxa"/>
            <w:tcBorders>
              <w:top w:val="nil"/>
              <w:left w:val="nil"/>
              <w:bottom w:val="nil"/>
              <w:right w:val="nil"/>
            </w:tcBorders>
            <w:shd w:val="clear" w:color="000000" w:fill="F2F2F2"/>
            <w:noWrap/>
            <w:vAlign w:val="bottom"/>
            <w:hideMark/>
          </w:tcPr>
          <w:p w14:paraId="00BA412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w:t>
            </w:r>
          </w:p>
        </w:tc>
        <w:tc>
          <w:tcPr>
            <w:tcW w:w="1740" w:type="dxa"/>
            <w:tcBorders>
              <w:top w:val="nil"/>
              <w:left w:val="nil"/>
              <w:bottom w:val="nil"/>
              <w:right w:val="nil"/>
            </w:tcBorders>
            <w:shd w:val="clear" w:color="000000" w:fill="F2F2F2"/>
            <w:noWrap/>
            <w:vAlign w:val="bottom"/>
            <w:hideMark/>
          </w:tcPr>
          <w:p w14:paraId="046266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140" w:type="dxa"/>
            <w:tcBorders>
              <w:top w:val="nil"/>
              <w:left w:val="nil"/>
              <w:bottom w:val="nil"/>
              <w:right w:val="nil"/>
            </w:tcBorders>
            <w:shd w:val="clear" w:color="000000" w:fill="F2F2F2"/>
            <w:noWrap/>
            <w:vAlign w:val="bottom"/>
            <w:hideMark/>
          </w:tcPr>
          <w:p w14:paraId="4E0FE846" w14:textId="4568F003"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7C900A40"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0AFD054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27C1223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374B014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537DFF4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2.8</w:t>
            </w:r>
          </w:p>
        </w:tc>
        <w:tc>
          <w:tcPr>
            <w:tcW w:w="1040" w:type="dxa"/>
            <w:tcBorders>
              <w:top w:val="nil"/>
              <w:left w:val="nil"/>
              <w:bottom w:val="nil"/>
              <w:right w:val="nil"/>
            </w:tcBorders>
            <w:shd w:val="clear" w:color="000000" w:fill="F2F2F2"/>
            <w:noWrap/>
            <w:vAlign w:val="bottom"/>
            <w:hideMark/>
          </w:tcPr>
          <w:p w14:paraId="23B8116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2.9</w:t>
            </w:r>
          </w:p>
        </w:tc>
        <w:tc>
          <w:tcPr>
            <w:tcW w:w="1740" w:type="dxa"/>
            <w:tcBorders>
              <w:top w:val="nil"/>
              <w:left w:val="nil"/>
              <w:bottom w:val="nil"/>
              <w:right w:val="nil"/>
            </w:tcBorders>
            <w:shd w:val="clear" w:color="000000" w:fill="F2F2F2"/>
            <w:noWrap/>
            <w:vAlign w:val="bottom"/>
            <w:hideMark/>
          </w:tcPr>
          <w:p w14:paraId="677F78F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2.6</w:t>
            </w:r>
          </w:p>
        </w:tc>
        <w:tc>
          <w:tcPr>
            <w:tcW w:w="1140" w:type="dxa"/>
            <w:tcBorders>
              <w:top w:val="nil"/>
              <w:left w:val="nil"/>
              <w:bottom w:val="nil"/>
              <w:right w:val="nil"/>
            </w:tcBorders>
            <w:shd w:val="clear" w:color="000000" w:fill="F2F2F2"/>
            <w:noWrap/>
            <w:vAlign w:val="bottom"/>
            <w:hideMark/>
          </w:tcPr>
          <w:p w14:paraId="2051C8C6" w14:textId="71B91E6E"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13D14927"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3CE62D8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656DDD6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42D2885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21C52AA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4.7</w:t>
            </w:r>
          </w:p>
        </w:tc>
        <w:tc>
          <w:tcPr>
            <w:tcW w:w="1040" w:type="dxa"/>
            <w:tcBorders>
              <w:top w:val="nil"/>
              <w:left w:val="nil"/>
              <w:bottom w:val="nil"/>
              <w:right w:val="nil"/>
            </w:tcBorders>
            <w:shd w:val="clear" w:color="000000" w:fill="F2F2F2"/>
            <w:noWrap/>
            <w:vAlign w:val="bottom"/>
            <w:hideMark/>
          </w:tcPr>
          <w:p w14:paraId="24011EB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4.7</w:t>
            </w:r>
          </w:p>
        </w:tc>
        <w:tc>
          <w:tcPr>
            <w:tcW w:w="1740" w:type="dxa"/>
            <w:tcBorders>
              <w:top w:val="nil"/>
              <w:left w:val="nil"/>
              <w:bottom w:val="nil"/>
              <w:right w:val="nil"/>
            </w:tcBorders>
            <w:shd w:val="clear" w:color="000000" w:fill="F2F2F2"/>
            <w:noWrap/>
            <w:vAlign w:val="bottom"/>
            <w:hideMark/>
          </w:tcPr>
          <w:p w14:paraId="5A04C7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4.5</w:t>
            </w:r>
          </w:p>
        </w:tc>
        <w:tc>
          <w:tcPr>
            <w:tcW w:w="1140" w:type="dxa"/>
            <w:tcBorders>
              <w:top w:val="nil"/>
              <w:left w:val="nil"/>
              <w:bottom w:val="nil"/>
              <w:right w:val="nil"/>
            </w:tcBorders>
            <w:shd w:val="clear" w:color="000000" w:fill="F2F2F2"/>
            <w:noWrap/>
            <w:vAlign w:val="bottom"/>
            <w:hideMark/>
          </w:tcPr>
          <w:p w14:paraId="045D8C0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57E64F2B"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5EF00C8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3A1D42B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F95AF7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7C783BA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6.5</w:t>
            </w:r>
          </w:p>
        </w:tc>
        <w:tc>
          <w:tcPr>
            <w:tcW w:w="1040" w:type="dxa"/>
            <w:tcBorders>
              <w:top w:val="nil"/>
              <w:left w:val="nil"/>
              <w:bottom w:val="nil"/>
              <w:right w:val="nil"/>
            </w:tcBorders>
            <w:shd w:val="clear" w:color="000000" w:fill="F2F2F2"/>
            <w:noWrap/>
            <w:vAlign w:val="bottom"/>
            <w:hideMark/>
          </w:tcPr>
          <w:p w14:paraId="2B96031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6.6</w:t>
            </w:r>
          </w:p>
        </w:tc>
        <w:tc>
          <w:tcPr>
            <w:tcW w:w="1740" w:type="dxa"/>
            <w:tcBorders>
              <w:top w:val="nil"/>
              <w:left w:val="nil"/>
              <w:bottom w:val="nil"/>
              <w:right w:val="nil"/>
            </w:tcBorders>
            <w:shd w:val="clear" w:color="000000" w:fill="F2F2F2"/>
            <w:noWrap/>
            <w:vAlign w:val="bottom"/>
            <w:hideMark/>
          </w:tcPr>
          <w:p w14:paraId="350229E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6.4</w:t>
            </w:r>
          </w:p>
        </w:tc>
        <w:tc>
          <w:tcPr>
            <w:tcW w:w="1140" w:type="dxa"/>
            <w:tcBorders>
              <w:top w:val="nil"/>
              <w:left w:val="nil"/>
              <w:bottom w:val="nil"/>
              <w:right w:val="nil"/>
            </w:tcBorders>
            <w:shd w:val="clear" w:color="000000" w:fill="F2F2F2"/>
            <w:noWrap/>
            <w:vAlign w:val="bottom"/>
            <w:hideMark/>
          </w:tcPr>
          <w:p w14:paraId="2F0E6FD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26FB7CA2"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3978155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4ED67F1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5D69E2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657EF1B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8.4</w:t>
            </w:r>
          </w:p>
        </w:tc>
        <w:tc>
          <w:tcPr>
            <w:tcW w:w="1040" w:type="dxa"/>
            <w:tcBorders>
              <w:top w:val="nil"/>
              <w:left w:val="nil"/>
              <w:bottom w:val="nil"/>
              <w:right w:val="nil"/>
            </w:tcBorders>
            <w:shd w:val="clear" w:color="000000" w:fill="F2F2F2"/>
            <w:noWrap/>
            <w:vAlign w:val="bottom"/>
            <w:hideMark/>
          </w:tcPr>
          <w:p w14:paraId="520D1E9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8.5</w:t>
            </w:r>
          </w:p>
        </w:tc>
        <w:tc>
          <w:tcPr>
            <w:tcW w:w="1740" w:type="dxa"/>
            <w:tcBorders>
              <w:top w:val="nil"/>
              <w:left w:val="nil"/>
              <w:bottom w:val="nil"/>
              <w:right w:val="nil"/>
            </w:tcBorders>
            <w:shd w:val="clear" w:color="000000" w:fill="F2F2F2"/>
            <w:noWrap/>
            <w:vAlign w:val="bottom"/>
            <w:hideMark/>
          </w:tcPr>
          <w:p w14:paraId="5C5AE6B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8.3</w:t>
            </w:r>
          </w:p>
        </w:tc>
        <w:tc>
          <w:tcPr>
            <w:tcW w:w="1140" w:type="dxa"/>
            <w:tcBorders>
              <w:top w:val="nil"/>
              <w:left w:val="nil"/>
              <w:bottom w:val="nil"/>
              <w:right w:val="nil"/>
            </w:tcBorders>
            <w:shd w:val="clear" w:color="000000" w:fill="F2F2F2"/>
            <w:noWrap/>
            <w:vAlign w:val="bottom"/>
            <w:hideMark/>
          </w:tcPr>
          <w:p w14:paraId="2651B0E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5B59340C"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18E924F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dotted" w:sz="4" w:space="0" w:color="000000"/>
              <w:right w:val="nil"/>
            </w:tcBorders>
            <w:shd w:val="clear" w:color="auto" w:fill="auto"/>
            <w:noWrap/>
            <w:vAlign w:val="center"/>
            <w:hideMark/>
          </w:tcPr>
          <w:p w14:paraId="433C414B"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79A1B61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4BD41E2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040" w:type="dxa"/>
            <w:tcBorders>
              <w:top w:val="nil"/>
              <w:left w:val="nil"/>
              <w:bottom w:val="nil"/>
              <w:right w:val="nil"/>
            </w:tcBorders>
            <w:shd w:val="clear" w:color="000000" w:fill="FFFFFF"/>
            <w:noWrap/>
            <w:vAlign w:val="bottom"/>
            <w:hideMark/>
          </w:tcPr>
          <w:p w14:paraId="23965B4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740" w:type="dxa"/>
            <w:tcBorders>
              <w:top w:val="nil"/>
              <w:left w:val="nil"/>
              <w:bottom w:val="nil"/>
              <w:right w:val="nil"/>
            </w:tcBorders>
            <w:shd w:val="clear" w:color="000000" w:fill="FFFFFF"/>
            <w:noWrap/>
            <w:vAlign w:val="bottom"/>
            <w:hideMark/>
          </w:tcPr>
          <w:p w14:paraId="5A38456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-1.7</w:t>
            </w:r>
          </w:p>
        </w:tc>
        <w:tc>
          <w:tcPr>
            <w:tcW w:w="1140" w:type="dxa"/>
            <w:tcBorders>
              <w:top w:val="nil"/>
              <w:left w:val="nil"/>
              <w:bottom w:val="nil"/>
              <w:right w:val="nil"/>
            </w:tcBorders>
            <w:shd w:val="clear" w:color="000000" w:fill="FFFFFF"/>
            <w:noWrap/>
            <w:vAlign w:val="bottom"/>
            <w:hideMark/>
          </w:tcPr>
          <w:p w14:paraId="3BCA4F83" w14:textId="2C4B1B75"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4063F1CF"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082E99F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7ED43D0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F3692F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5BB0914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c>
          <w:tcPr>
            <w:tcW w:w="1040" w:type="dxa"/>
            <w:tcBorders>
              <w:top w:val="nil"/>
              <w:left w:val="nil"/>
              <w:bottom w:val="nil"/>
              <w:right w:val="nil"/>
            </w:tcBorders>
            <w:shd w:val="clear" w:color="000000" w:fill="FFFFFF"/>
            <w:noWrap/>
            <w:vAlign w:val="bottom"/>
            <w:hideMark/>
          </w:tcPr>
          <w:p w14:paraId="1FC132B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740" w:type="dxa"/>
            <w:tcBorders>
              <w:top w:val="nil"/>
              <w:left w:val="nil"/>
              <w:bottom w:val="nil"/>
              <w:right w:val="nil"/>
            </w:tcBorders>
            <w:shd w:val="clear" w:color="000000" w:fill="FFFFFF"/>
            <w:noWrap/>
            <w:vAlign w:val="bottom"/>
            <w:hideMark/>
          </w:tcPr>
          <w:p w14:paraId="51C2A67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c>
          <w:tcPr>
            <w:tcW w:w="1140" w:type="dxa"/>
            <w:tcBorders>
              <w:top w:val="nil"/>
              <w:left w:val="nil"/>
              <w:bottom w:val="nil"/>
              <w:right w:val="nil"/>
            </w:tcBorders>
            <w:shd w:val="clear" w:color="000000" w:fill="FFFFFF"/>
            <w:noWrap/>
            <w:vAlign w:val="bottom"/>
            <w:hideMark/>
          </w:tcPr>
          <w:p w14:paraId="3378E7DE" w14:textId="5523FF53"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31BF8BED"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55407AF3"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25B9939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5B5F12F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6967802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2.2</w:t>
            </w:r>
          </w:p>
        </w:tc>
        <w:tc>
          <w:tcPr>
            <w:tcW w:w="1040" w:type="dxa"/>
            <w:tcBorders>
              <w:top w:val="nil"/>
              <w:left w:val="nil"/>
              <w:bottom w:val="nil"/>
              <w:right w:val="nil"/>
            </w:tcBorders>
            <w:shd w:val="clear" w:color="000000" w:fill="FFFFFF"/>
            <w:noWrap/>
            <w:vAlign w:val="bottom"/>
            <w:hideMark/>
          </w:tcPr>
          <w:p w14:paraId="42ABF34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2.3</w:t>
            </w:r>
          </w:p>
        </w:tc>
        <w:tc>
          <w:tcPr>
            <w:tcW w:w="1740" w:type="dxa"/>
            <w:tcBorders>
              <w:top w:val="nil"/>
              <w:left w:val="nil"/>
              <w:bottom w:val="nil"/>
              <w:right w:val="nil"/>
            </w:tcBorders>
            <w:shd w:val="clear" w:color="000000" w:fill="FFFFFF"/>
            <w:noWrap/>
            <w:vAlign w:val="bottom"/>
            <w:hideMark/>
          </w:tcPr>
          <w:p w14:paraId="59A154A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2.1</w:t>
            </w:r>
          </w:p>
        </w:tc>
        <w:tc>
          <w:tcPr>
            <w:tcW w:w="1140" w:type="dxa"/>
            <w:tcBorders>
              <w:top w:val="nil"/>
              <w:left w:val="nil"/>
              <w:bottom w:val="nil"/>
              <w:right w:val="nil"/>
            </w:tcBorders>
            <w:shd w:val="clear" w:color="000000" w:fill="FFFFFF"/>
            <w:noWrap/>
            <w:vAlign w:val="bottom"/>
            <w:hideMark/>
          </w:tcPr>
          <w:p w14:paraId="1D3913F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17EBF517"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1C67C87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5482F82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3F77492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5E3E84E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4.1</w:t>
            </w:r>
          </w:p>
        </w:tc>
        <w:tc>
          <w:tcPr>
            <w:tcW w:w="1040" w:type="dxa"/>
            <w:tcBorders>
              <w:top w:val="nil"/>
              <w:left w:val="nil"/>
              <w:bottom w:val="nil"/>
              <w:right w:val="nil"/>
            </w:tcBorders>
            <w:shd w:val="clear" w:color="000000" w:fill="FFFFFF"/>
            <w:noWrap/>
            <w:vAlign w:val="bottom"/>
            <w:hideMark/>
          </w:tcPr>
          <w:p w14:paraId="1F7E92E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4.2</w:t>
            </w:r>
          </w:p>
        </w:tc>
        <w:tc>
          <w:tcPr>
            <w:tcW w:w="1740" w:type="dxa"/>
            <w:tcBorders>
              <w:top w:val="nil"/>
              <w:left w:val="nil"/>
              <w:bottom w:val="nil"/>
              <w:right w:val="nil"/>
            </w:tcBorders>
            <w:shd w:val="clear" w:color="000000" w:fill="FFFFFF"/>
            <w:noWrap/>
            <w:vAlign w:val="bottom"/>
            <w:hideMark/>
          </w:tcPr>
          <w:p w14:paraId="55D665B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1140" w:type="dxa"/>
            <w:tcBorders>
              <w:top w:val="nil"/>
              <w:left w:val="nil"/>
              <w:bottom w:val="nil"/>
              <w:right w:val="nil"/>
            </w:tcBorders>
            <w:shd w:val="clear" w:color="000000" w:fill="FFFFFF"/>
            <w:noWrap/>
            <w:vAlign w:val="bottom"/>
            <w:hideMark/>
          </w:tcPr>
          <w:p w14:paraId="1D09B18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22F5A11D"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5226288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1CEEA81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AB2CE9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08AC9A6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1040" w:type="dxa"/>
            <w:tcBorders>
              <w:top w:val="nil"/>
              <w:left w:val="nil"/>
              <w:bottom w:val="nil"/>
              <w:right w:val="nil"/>
            </w:tcBorders>
            <w:shd w:val="clear" w:color="000000" w:fill="FFFFFF"/>
            <w:noWrap/>
            <w:vAlign w:val="bottom"/>
            <w:hideMark/>
          </w:tcPr>
          <w:p w14:paraId="60AD0F1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6.1</w:t>
            </w:r>
          </w:p>
        </w:tc>
        <w:tc>
          <w:tcPr>
            <w:tcW w:w="1740" w:type="dxa"/>
            <w:tcBorders>
              <w:top w:val="nil"/>
              <w:left w:val="nil"/>
              <w:bottom w:val="nil"/>
              <w:right w:val="nil"/>
            </w:tcBorders>
            <w:shd w:val="clear" w:color="000000" w:fill="FFFFFF"/>
            <w:noWrap/>
            <w:vAlign w:val="bottom"/>
            <w:hideMark/>
          </w:tcPr>
          <w:p w14:paraId="6A28570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140" w:type="dxa"/>
            <w:tcBorders>
              <w:top w:val="nil"/>
              <w:left w:val="nil"/>
              <w:bottom w:val="nil"/>
              <w:right w:val="nil"/>
            </w:tcBorders>
            <w:shd w:val="clear" w:color="000000" w:fill="FFFFFF"/>
            <w:noWrap/>
            <w:vAlign w:val="bottom"/>
            <w:hideMark/>
          </w:tcPr>
          <w:p w14:paraId="28A0269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7FB8E5CE"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44328DB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6274219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dotted" w:sz="4" w:space="0" w:color="auto"/>
              <w:right w:val="nil"/>
            </w:tcBorders>
            <w:shd w:val="clear" w:color="000000" w:fill="FFFFFF"/>
            <w:noWrap/>
            <w:vAlign w:val="bottom"/>
            <w:hideMark/>
          </w:tcPr>
          <w:p w14:paraId="1C3A665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dotted" w:sz="4" w:space="0" w:color="auto"/>
              <w:right w:val="nil"/>
            </w:tcBorders>
            <w:shd w:val="clear" w:color="000000" w:fill="FFFFFF"/>
            <w:noWrap/>
            <w:vAlign w:val="bottom"/>
            <w:hideMark/>
          </w:tcPr>
          <w:p w14:paraId="0774FD7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040" w:type="dxa"/>
            <w:tcBorders>
              <w:top w:val="nil"/>
              <w:left w:val="nil"/>
              <w:bottom w:val="dotted" w:sz="4" w:space="0" w:color="auto"/>
              <w:right w:val="nil"/>
            </w:tcBorders>
            <w:shd w:val="clear" w:color="000000" w:fill="FFFFFF"/>
            <w:noWrap/>
            <w:vAlign w:val="bottom"/>
            <w:hideMark/>
          </w:tcPr>
          <w:p w14:paraId="2E2B5F6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1740" w:type="dxa"/>
            <w:tcBorders>
              <w:top w:val="nil"/>
              <w:left w:val="nil"/>
              <w:bottom w:val="dotted" w:sz="4" w:space="0" w:color="auto"/>
              <w:right w:val="nil"/>
            </w:tcBorders>
            <w:shd w:val="clear" w:color="000000" w:fill="FFFFFF"/>
            <w:noWrap/>
            <w:vAlign w:val="bottom"/>
            <w:hideMark/>
          </w:tcPr>
          <w:p w14:paraId="50F777E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7.8</w:t>
            </w:r>
          </w:p>
        </w:tc>
        <w:tc>
          <w:tcPr>
            <w:tcW w:w="1140" w:type="dxa"/>
            <w:tcBorders>
              <w:top w:val="nil"/>
              <w:left w:val="nil"/>
              <w:bottom w:val="dotted" w:sz="4" w:space="0" w:color="auto"/>
              <w:right w:val="nil"/>
            </w:tcBorders>
            <w:shd w:val="clear" w:color="000000" w:fill="FFFFFF"/>
            <w:noWrap/>
            <w:vAlign w:val="bottom"/>
            <w:hideMark/>
          </w:tcPr>
          <w:p w14:paraId="40BF23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17AD5E5B" w14:textId="77777777" w:rsidTr="00B07292">
        <w:trPr>
          <w:trHeight w:val="20"/>
          <w:jc w:val="center"/>
        </w:trPr>
        <w:tc>
          <w:tcPr>
            <w:tcW w:w="520" w:type="dxa"/>
            <w:vMerge w:val="restart"/>
            <w:tcBorders>
              <w:top w:val="nil"/>
              <w:left w:val="nil"/>
              <w:bottom w:val="dotted" w:sz="4" w:space="0" w:color="000000"/>
              <w:right w:val="dotted" w:sz="4" w:space="0" w:color="auto"/>
            </w:tcBorders>
            <w:shd w:val="clear" w:color="auto" w:fill="auto"/>
            <w:noWrap/>
            <w:vAlign w:val="center"/>
            <w:hideMark/>
          </w:tcPr>
          <w:p w14:paraId="73550492"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90</w:t>
            </w:r>
          </w:p>
        </w:tc>
        <w:tc>
          <w:tcPr>
            <w:tcW w:w="960" w:type="dxa"/>
            <w:vMerge w:val="restart"/>
            <w:tcBorders>
              <w:top w:val="nil"/>
              <w:left w:val="nil"/>
              <w:bottom w:val="nil"/>
              <w:right w:val="nil"/>
            </w:tcBorders>
            <w:shd w:val="clear" w:color="000000" w:fill="F2F2F2"/>
            <w:noWrap/>
            <w:vAlign w:val="center"/>
            <w:hideMark/>
          </w:tcPr>
          <w:p w14:paraId="1F9D553E"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nil"/>
              <w:left w:val="nil"/>
              <w:bottom w:val="nil"/>
              <w:right w:val="nil"/>
            </w:tcBorders>
            <w:shd w:val="clear" w:color="000000" w:fill="F2F2F2"/>
            <w:noWrap/>
            <w:vAlign w:val="bottom"/>
            <w:hideMark/>
          </w:tcPr>
          <w:p w14:paraId="71DBFD4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2F2F2"/>
            <w:noWrap/>
            <w:vAlign w:val="bottom"/>
            <w:hideMark/>
          </w:tcPr>
          <w:p w14:paraId="1F90206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040" w:type="dxa"/>
            <w:tcBorders>
              <w:top w:val="nil"/>
              <w:left w:val="nil"/>
              <w:bottom w:val="nil"/>
              <w:right w:val="nil"/>
            </w:tcBorders>
            <w:shd w:val="clear" w:color="000000" w:fill="F2F2F2"/>
            <w:noWrap/>
            <w:vAlign w:val="bottom"/>
            <w:hideMark/>
          </w:tcPr>
          <w:p w14:paraId="7738BFD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740" w:type="dxa"/>
            <w:tcBorders>
              <w:top w:val="nil"/>
              <w:left w:val="nil"/>
              <w:bottom w:val="nil"/>
              <w:right w:val="nil"/>
            </w:tcBorders>
            <w:shd w:val="clear" w:color="000000" w:fill="F2F2F2"/>
            <w:noWrap/>
            <w:vAlign w:val="bottom"/>
            <w:hideMark/>
          </w:tcPr>
          <w:p w14:paraId="5724E84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-0.6</w:t>
            </w:r>
          </w:p>
        </w:tc>
        <w:tc>
          <w:tcPr>
            <w:tcW w:w="1140" w:type="dxa"/>
            <w:tcBorders>
              <w:top w:val="nil"/>
              <w:left w:val="nil"/>
              <w:bottom w:val="nil"/>
              <w:right w:val="nil"/>
            </w:tcBorders>
            <w:shd w:val="clear" w:color="000000" w:fill="F2F2F2"/>
            <w:noWrap/>
            <w:vAlign w:val="bottom"/>
            <w:hideMark/>
          </w:tcPr>
          <w:p w14:paraId="3DEF12B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14B0A580"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7109902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6EC839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A7FD8C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65ACC76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040" w:type="dxa"/>
            <w:tcBorders>
              <w:top w:val="nil"/>
              <w:left w:val="nil"/>
              <w:bottom w:val="nil"/>
              <w:right w:val="nil"/>
            </w:tcBorders>
            <w:shd w:val="clear" w:color="000000" w:fill="F2F2F2"/>
            <w:noWrap/>
            <w:vAlign w:val="bottom"/>
            <w:hideMark/>
          </w:tcPr>
          <w:p w14:paraId="306A843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740" w:type="dxa"/>
            <w:tcBorders>
              <w:top w:val="nil"/>
              <w:left w:val="nil"/>
              <w:bottom w:val="nil"/>
              <w:right w:val="nil"/>
            </w:tcBorders>
            <w:shd w:val="clear" w:color="000000" w:fill="F2F2F2"/>
            <w:noWrap/>
            <w:vAlign w:val="bottom"/>
            <w:hideMark/>
          </w:tcPr>
          <w:p w14:paraId="015F555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140" w:type="dxa"/>
            <w:tcBorders>
              <w:top w:val="nil"/>
              <w:left w:val="nil"/>
              <w:bottom w:val="nil"/>
              <w:right w:val="nil"/>
            </w:tcBorders>
            <w:shd w:val="clear" w:color="000000" w:fill="F2F2F2"/>
            <w:noWrap/>
            <w:vAlign w:val="bottom"/>
            <w:hideMark/>
          </w:tcPr>
          <w:p w14:paraId="41592A1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5BACC619"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57C9E91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77FF8C5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21B7CAE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22F0164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3.4</w:t>
            </w:r>
          </w:p>
        </w:tc>
        <w:tc>
          <w:tcPr>
            <w:tcW w:w="1040" w:type="dxa"/>
            <w:tcBorders>
              <w:top w:val="nil"/>
              <w:left w:val="nil"/>
              <w:bottom w:val="nil"/>
              <w:right w:val="nil"/>
            </w:tcBorders>
            <w:shd w:val="clear" w:color="000000" w:fill="F2F2F2"/>
            <w:noWrap/>
            <w:vAlign w:val="bottom"/>
            <w:hideMark/>
          </w:tcPr>
          <w:p w14:paraId="6F9450A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3.4</w:t>
            </w:r>
          </w:p>
        </w:tc>
        <w:tc>
          <w:tcPr>
            <w:tcW w:w="1740" w:type="dxa"/>
            <w:tcBorders>
              <w:top w:val="nil"/>
              <w:left w:val="nil"/>
              <w:bottom w:val="nil"/>
              <w:right w:val="nil"/>
            </w:tcBorders>
            <w:shd w:val="clear" w:color="000000" w:fill="F2F2F2"/>
            <w:noWrap/>
            <w:vAlign w:val="bottom"/>
            <w:hideMark/>
          </w:tcPr>
          <w:p w14:paraId="27E6F7D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3.3</w:t>
            </w:r>
          </w:p>
        </w:tc>
        <w:tc>
          <w:tcPr>
            <w:tcW w:w="1140" w:type="dxa"/>
            <w:tcBorders>
              <w:top w:val="nil"/>
              <w:left w:val="nil"/>
              <w:bottom w:val="nil"/>
              <w:right w:val="nil"/>
            </w:tcBorders>
            <w:shd w:val="clear" w:color="000000" w:fill="F2F2F2"/>
            <w:noWrap/>
            <w:vAlign w:val="bottom"/>
            <w:hideMark/>
          </w:tcPr>
          <w:p w14:paraId="62BF304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515B353C"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0E389BE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2CC1B93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EEA898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26ABF6F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5.3</w:t>
            </w:r>
          </w:p>
        </w:tc>
        <w:tc>
          <w:tcPr>
            <w:tcW w:w="1040" w:type="dxa"/>
            <w:tcBorders>
              <w:top w:val="nil"/>
              <w:left w:val="nil"/>
              <w:bottom w:val="nil"/>
              <w:right w:val="nil"/>
            </w:tcBorders>
            <w:shd w:val="clear" w:color="000000" w:fill="F2F2F2"/>
            <w:noWrap/>
            <w:vAlign w:val="bottom"/>
            <w:hideMark/>
          </w:tcPr>
          <w:p w14:paraId="2E2EF8B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5.4</w:t>
            </w:r>
          </w:p>
        </w:tc>
        <w:tc>
          <w:tcPr>
            <w:tcW w:w="1740" w:type="dxa"/>
            <w:tcBorders>
              <w:top w:val="nil"/>
              <w:left w:val="nil"/>
              <w:bottom w:val="nil"/>
              <w:right w:val="nil"/>
            </w:tcBorders>
            <w:shd w:val="clear" w:color="000000" w:fill="F2F2F2"/>
            <w:noWrap/>
            <w:vAlign w:val="bottom"/>
            <w:hideMark/>
          </w:tcPr>
          <w:p w14:paraId="5B075B4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5.3</w:t>
            </w:r>
          </w:p>
        </w:tc>
        <w:tc>
          <w:tcPr>
            <w:tcW w:w="1140" w:type="dxa"/>
            <w:tcBorders>
              <w:top w:val="nil"/>
              <w:left w:val="nil"/>
              <w:bottom w:val="nil"/>
              <w:right w:val="nil"/>
            </w:tcBorders>
            <w:shd w:val="clear" w:color="000000" w:fill="F2F2F2"/>
            <w:noWrap/>
            <w:vAlign w:val="bottom"/>
            <w:hideMark/>
          </w:tcPr>
          <w:p w14:paraId="4446208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6D85B99B"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3316163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715FFB06"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A2DFF5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21AA085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7.3</w:t>
            </w:r>
          </w:p>
        </w:tc>
        <w:tc>
          <w:tcPr>
            <w:tcW w:w="1040" w:type="dxa"/>
            <w:tcBorders>
              <w:top w:val="nil"/>
              <w:left w:val="nil"/>
              <w:bottom w:val="nil"/>
              <w:right w:val="nil"/>
            </w:tcBorders>
            <w:shd w:val="clear" w:color="000000" w:fill="F2F2F2"/>
            <w:noWrap/>
            <w:vAlign w:val="bottom"/>
            <w:hideMark/>
          </w:tcPr>
          <w:p w14:paraId="130FF4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7.3</w:t>
            </w:r>
          </w:p>
        </w:tc>
        <w:tc>
          <w:tcPr>
            <w:tcW w:w="1740" w:type="dxa"/>
            <w:tcBorders>
              <w:top w:val="nil"/>
              <w:left w:val="nil"/>
              <w:bottom w:val="nil"/>
              <w:right w:val="nil"/>
            </w:tcBorders>
            <w:shd w:val="clear" w:color="000000" w:fill="F2F2F2"/>
            <w:noWrap/>
            <w:vAlign w:val="bottom"/>
            <w:hideMark/>
          </w:tcPr>
          <w:p w14:paraId="663084C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7.2</w:t>
            </w:r>
          </w:p>
        </w:tc>
        <w:tc>
          <w:tcPr>
            <w:tcW w:w="1140" w:type="dxa"/>
            <w:tcBorders>
              <w:top w:val="nil"/>
              <w:left w:val="nil"/>
              <w:bottom w:val="nil"/>
              <w:right w:val="nil"/>
            </w:tcBorders>
            <w:shd w:val="clear" w:color="000000" w:fill="F2F2F2"/>
            <w:noWrap/>
            <w:vAlign w:val="bottom"/>
            <w:hideMark/>
          </w:tcPr>
          <w:p w14:paraId="6E632B6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5B92FA24"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3E2E5463"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268352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42CBF52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2589C1A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9.2</w:t>
            </w:r>
          </w:p>
        </w:tc>
        <w:tc>
          <w:tcPr>
            <w:tcW w:w="1040" w:type="dxa"/>
            <w:tcBorders>
              <w:top w:val="nil"/>
              <w:left w:val="nil"/>
              <w:bottom w:val="nil"/>
              <w:right w:val="nil"/>
            </w:tcBorders>
            <w:shd w:val="clear" w:color="000000" w:fill="F2F2F2"/>
            <w:noWrap/>
            <w:vAlign w:val="bottom"/>
            <w:hideMark/>
          </w:tcPr>
          <w:p w14:paraId="30D6D24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9.3</w:t>
            </w:r>
          </w:p>
        </w:tc>
        <w:tc>
          <w:tcPr>
            <w:tcW w:w="1740" w:type="dxa"/>
            <w:tcBorders>
              <w:top w:val="nil"/>
              <w:left w:val="nil"/>
              <w:bottom w:val="nil"/>
              <w:right w:val="nil"/>
            </w:tcBorders>
            <w:shd w:val="clear" w:color="000000" w:fill="F2F2F2"/>
            <w:noWrap/>
            <w:vAlign w:val="bottom"/>
            <w:hideMark/>
          </w:tcPr>
          <w:p w14:paraId="3C4DA08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9.2</w:t>
            </w:r>
          </w:p>
        </w:tc>
        <w:tc>
          <w:tcPr>
            <w:tcW w:w="1140" w:type="dxa"/>
            <w:tcBorders>
              <w:top w:val="nil"/>
              <w:left w:val="nil"/>
              <w:bottom w:val="nil"/>
              <w:right w:val="nil"/>
            </w:tcBorders>
            <w:shd w:val="clear" w:color="000000" w:fill="F2F2F2"/>
            <w:noWrap/>
            <w:vAlign w:val="bottom"/>
            <w:hideMark/>
          </w:tcPr>
          <w:p w14:paraId="0913E70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73BE0A41"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309327E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dotted" w:sz="4" w:space="0" w:color="000000"/>
              <w:right w:val="nil"/>
            </w:tcBorders>
            <w:shd w:val="clear" w:color="auto" w:fill="auto"/>
            <w:noWrap/>
            <w:vAlign w:val="center"/>
            <w:hideMark/>
          </w:tcPr>
          <w:p w14:paraId="186F5158"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019050D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1879567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040" w:type="dxa"/>
            <w:tcBorders>
              <w:top w:val="nil"/>
              <w:left w:val="nil"/>
              <w:bottom w:val="nil"/>
              <w:right w:val="nil"/>
            </w:tcBorders>
            <w:shd w:val="clear" w:color="000000" w:fill="FFFFFF"/>
            <w:noWrap/>
            <w:vAlign w:val="bottom"/>
            <w:hideMark/>
          </w:tcPr>
          <w:p w14:paraId="01F5F1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740" w:type="dxa"/>
            <w:tcBorders>
              <w:top w:val="nil"/>
              <w:left w:val="nil"/>
              <w:bottom w:val="nil"/>
              <w:right w:val="nil"/>
            </w:tcBorders>
            <w:shd w:val="clear" w:color="000000" w:fill="FFFFFF"/>
            <w:noWrap/>
            <w:vAlign w:val="bottom"/>
            <w:hideMark/>
          </w:tcPr>
          <w:p w14:paraId="534B7A5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-0.8</w:t>
            </w:r>
          </w:p>
        </w:tc>
        <w:tc>
          <w:tcPr>
            <w:tcW w:w="1140" w:type="dxa"/>
            <w:tcBorders>
              <w:top w:val="nil"/>
              <w:left w:val="nil"/>
              <w:bottom w:val="nil"/>
              <w:right w:val="nil"/>
            </w:tcBorders>
            <w:shd w:val="clear" w:color="000000" w:fill="FFFFFF"/>
            <w:noWrap/>
            <w:vAlign w:val="bottom"/>
            <w:hideMark/>
          </w:tcPr>
          <w:p w14:paraId="11A14AC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0D630AA0"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5C9C63A3"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76A74026"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954ED2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1A1A30F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1.2</w:t>
            </w:r>
          </w:p>
        </w:tc>
        <w:tc>
          <w:tcPr>
            <w:tcW w:w="1040" w:type="dxa"/>
            <w:tcBorders>
              <w:top w:val="nil"/>
              <w:left w:val="nil"/>
              <w:bottom w:val="nil"/>
              <w:right w:val="nil"/>
            </w:tcBorders>
            <w:shd w:val="clear" w:color="000000" w:fill="FFFFFF"/>
            <w:noWrap/>
            <w:vAlign w:val="bottom"/>
            <w:hideMark/>
          </w:tcPr>
          <w:p w14:paraId="79D4E74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1.2</w:t>
            </w:r>
          </w:p>
        </w:tc>
        <w:tc>
          <w:tcPr>
            <w:tcW w:w="1740" w:type="dxa"/>
            <w:tcBorders>
              <w:top w:val="nil"/>
              <w:left w:val="nil"/>
              <w:bottom w:val="nil"/>
              <w:right w:val="nil"/>
            </w:tcBorders>
            <w:shd w:val="clear" w:color="000000" w:fill="FFFFFF"/>
            <w:noWrap/>
            <w:vAlign w:val="bottom"/>
            <w:hideMark/>
          </w:tcPr>
          <w:p w14:paraId="77B9FC3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1.1</w:t>
            </w:r>
          </w:p>
        </w:tc>
        <w:tc>
          <w:tcPr>
            <w:tcW w:w="1140" w:type="dxa"/>
            <w:tcBorders>
              <w:top w:val="nil"/>
              <w:left w:val="nil"/>
              <w:bottom w:val="nil"/>
              <w:right w:val="nil"/>
            </w:tcBorders>
            <w:shd w:val="clear" w:color="000000" w:fill="FFFFFF"/>
            <w:noWrap/>
            <w:vAlign w:val="bottom"/>
            <w:hideMark/>
          </w:tcPr>
          <w:p w14:paraId="350EA1D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42C8C2BC"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2B9B4FF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0057F7F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49D0D03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6AD1AA9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3.1</w:t>
            </w:r>
          </w:p>
        </w:tc>
        <w:tc>
          <w:tcPr>
            <w:tcW w:w="1040" w:type="dxa"/>
            <w:tcBorders>
              <w:top w:val="nil"/>
              <w:left w:val="nil"/>
              <w:bottom w:val="nil"/>
              <w:right w:val="nil"/>
            </w:tcBorders>
            <w:shd w:val="clear" w:color="000000" w:fill="FFFFFF"/>
            <w:noWrap/>
            <w:vAlign w:val="bottom"/>
            <w:hideMark/>
          </w:tcPr>
          <w:p w14:paraId="088B84A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3.2</w:t>
            </w:r>
          </w:p>
        </w:tc>
        <w:tc>
          <w:tcPr>
            <w:tcW w:w="1740" w:type="dxa"/>
            <w:tcBorders>
              <w:top w:val="nil"/>
              <w:left w:val="nil"/>
              <w:bottom w:val="nil"/>
              <w:right w:val="nil"/>
            </w:tcBorders>
            <w:shd w:val="clear" w:color="000000" w:fill="FFFFFF"/>
            <w:noWrap/>
            <w:vAlign w:val="bottom"/>
            <w:hideMark/>
          </w:tcPr>
          <w:p w14:paraId="6B6CF44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3.1</w:t>
            </w:r>
          </w:p>
        </w:tc>
        <w:tc>
          <w:tcPr>
            <w:tcW w:w="1140" w:type="dxa"/>
            <w:tcBorders>
              <w:top w:val="nil"/>
              <w:left w:val="nil"/>
              <w:bottom w:val="nil"/>
              <w:right w:val="nil"/>
            </w:tcBorders>
            <w:shd w:val="clear" w:color="000000" w:fill="FFFFFF"/>
            <w:noWrap/>
            <w:vAlign w:val="bottom"/>
            <w:hideMark/>
          </w:tcPr>
          <w:p w14:paraId="4DE41A1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4F7FE423"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2AE387D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75DFA31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1F7F9A1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7D47592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5.1</w:t>
            </w:r>
          </w:p>
        </w:tc>
        <w:tc>
          <w:tcPr>
            <w:tcW w:w="1040" w:type="dxa"/>
            <w:tcBorders>
              <w:top w:val="nil"/>
              <w:left w:val="nil"/>
              <w:bottom w:val="nil"/>
              <w:right w:val="nil"/>
            </w:tcBorders>
            <w:shd w:val="clear" w:color="000000" w:fill="FFFFFF"/>
            <w:noWrap/>
            <w:vAlign w:val="bottom"/>
            <w:hideMark/>
          </w:tcPr>
          <w:p w14:paraId="3534A74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5.1</w:t>
            </w:r>
          </w:p>
        </w:tc>
        <w:tc>
          <w:tcPr>
            <w:tcW w:w="1740" w:type="dxa"/>
            <w:tcBorders>
              <w:top w:val="nil"/>
              <w:left w:val="nil"/>
              <w:bottom w:val="nil"/>
              <w:right w:val="nil"/>
            </w:tcBorders>
            <w:shd w:val="clear" w:color="000000" w:fill="FFFFFF"/>
            <w:noWrap/>
            <w:vAlign w:val="bottom"/>
            <w:hideMark/>
          </w:tcPr>
          <w:p w14:paraId="400234E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5.0</w:t>
            </w:r>
          </w:p>
        </w:tc>
        <w:tc>
          <w:tcPr>
            <w:tcW w:w="1140" w:type="dxa"/>
            <w:tcBorders>
              <w:top w:val="nil"/>
              <w:left w:val="nil"/>
              <w:bottom w:val="nil"/>
              <w:right w:val="nil"/>
            </w:tcBorders>
            <w:shd w:val="clear" w:color="000000" w:fill="FFFFFF"/>
            <w:noWrap/>
            <w:vAlign w:val="bottom"/>
            <w:hideMark/>
          </w:tcPr>
          <w:p w14:paraId="2FB50B5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7D930331"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785FF80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14BAA17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56D167B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3A8499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7.0</w:t>
            </w:r>
          </w:p>
        </w:tc>
        <w:tc>
          <w:tcPr>
            <w:tcW w:w="1040" w:type="dxa"/>
            <w:tcBorders>
              <w:top w:val="nil"/>
              <w:left w:val="nil"/>
              <w:bottom w:val="nil"/>
              <w:right w:val="nil"/>
            </w:tcBorders>
            <w:shd w:val="clear" w:color="000000" w:fill="FFFFFF"/>
            <w:noWrap/>
            <w:vAlign w:val="bottom"/>
            <w:hideMark/>
          </w:tcPr>
          <w:p w14:paraId="0BF8B1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7.1</w:t>
            </w:r>
          </w:p>
        </w:tc>
        <w:tc>
          <w:tcPr>
            <w:tcW w:w="1740" w:type="dxa"/>
            <w:tcBorders>
              <w:top w:val="nil"/>
              <w:left w:val="nil"/>
              <w:bottom w:val="nil"/>
              <w:right w:val="nil"/>
            </w:tcBorders>
            <w:shd w:val="clear" w:color="000000" w:fill="FFFFFF"/>
            <w:noWrap/>
            <w:vAlign w:val="bottom"/>
            <w:hideMark/>
          </w:tcPr>
          <w:p w14:paraId="5ED0895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7.0</w:t>
            </w:r>
          </w:p>
        </w:tc>
        <w:tc>
          <w:tcPr>
            <w:tcW w:w="1140" w:type="dxa"/>
            <w:tcBorders>
              <w:top w:val="nil"/>
              <w:left w:val="nil"/>
              <w:bottom w:val="nil"/>
              <w:right w:val="nil"/>
            </w:tcBorders>
            <w:shd w:val="clear" w:color="000000" w:fill="FFFFFF"/>
            <w:noWrap/>
            <w:vAlign w:val="bottom"/>
            <w:hideMark/>
          </w:tcPr>
          <w:p w14:paraId="0132311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376B5F4D"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0BEE70F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5570134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dotted" w:sz="4" w:space="0" w:color="auto"/>
              <w:right w:val="nil"/>
            </w:tcBorders>
            <w:shd w:val="clear" w:color="000000" w:fill="FFFFFF"/>
            <w:noWrap/>
            <w:vAlign w:val="bottom"/>
            <w:hideMark/>
          </w:tcPr>
          <w:p w14:paraId="47A0BEC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dotted" w:sz="4" w:space="0" w:color="auto"/>
              <w:right w:val="nil"/>
            </w:tcBorders>
            <w:shd w:val="clear" w:color="000000" w:fill="FFFFFF"/>
            <w:noWrap/>
            <w:vAlign w:val="bottom"/>
            <w:hideMark/>
          </w:tcPr>
          <w:p w14:paraId="7CC370F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9.0</w:t>
            </w:r>
          </w:p>
        </w:tc>
        <w:tc>
          <w:tcPr>
            <w:tcW w:w="1040" w:type="dxa"/>
            <w:tcBorders>
              <w:top w:val="nil"/>
              <w:left w:val="nil"/>
              <w:bottom w:val="dotted" w:sz="4" w:space="0" w:color="auto"/>
              <w:right w:val="nil"/>
            </w:tcBorders>
            <w:shd w:val="clear" w:color="000000" w:fill="FFFFFF"/>
            <w:noWrap/>
            <w:vAlign w:val="bottom"/>
            <w:hideMark/>
          </w:tcPr>
          <w:p w14:paraId="70D0C48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9.0</w:t>
            </w:r>
          </w:p>
        </w:tc>
        <w:tc>
          <w:tcPr>
            <w:tcW w:w="1740" w:type="dxa"/>
            <w:tcBorders>
              <w:top w:val="nil"/>
              <w:left w:val="nil"/>
              <w:bottom w:val="dotted" w:sz="4" w:space="0" w:color="auto"/>
              <w:right w:val="nil"/>
            </w:tcBorders>
            <w:shd w:val="clear" w:color="000000" w:fill="FFFFFF"/>
            <w:noWrap/>
            <w:vAlign w:val="bottom"/>
            <w:hideMark/>
          </w:tcPr>
          <w:p w14:paraId="1410A6B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8.9</w:t>
            </w:r>
          </w:p>
        </w:tc>
        <w:tc>
          <w:tcPr>
            <w:tcW w:w="1140" w:type="dxa"/>
            <w:tcBorders>
              <w:top w:val="nil"/>
              <w:left w:val="nil"/>
              <w:bottom w:val="dotted" w:sz="4" w:space="0" w:color="auto"/>
              <w:right w:val="nil"/>
            </w:tcBorders>
            <w:shd w:val="clear" w:color="000000" w:fill="FFFFFF"/>
            <w:noWrap/>
            <w:vAlign w:val="bottom"/>
            <w:hideMark/>
          </w:tcPr>
          <w:p w14:paraId="5DD7B5E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42436E2D" w14:textId="77777777" w:rsidTr="00B07292">
        <w:trPr>
          <w:trHeight w:val="20"/>
          <w:jc w:val="center"/>
        </w:trPr>
        <w:tc>
          <w:tcPr>
            <w:tcW w:w="520" w:type="dxa"/>
            <w:vMerge w:val="restart"/>
            <w:tcBorders>
              <w:top w:val="nil"/>
              <w:left w:val="nil"/>
              <w:bottom w:val="single" w:sz="12" w:space="0" w:color="000000"/>
              <w:right w:val="dotted" w:sz="4" w:space="0" w:color="auto"/>
            </w:tcBorders>
            <w:shd w:val="clear" w:color="auto" w:fill="auto"/>
            <w:noWrap/>
            <w:vAlign w:val="center"/>
            <w:hideMark/>
          </w:tcPr>
          <w:p w14:paraId="2D33DFC5"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lastRenderedPageBreak/>
              <w:t>99</w:t>
            </w:r>
          </w:p>
        </w:tc>
        <w:tc>
          <w:tcPr>
            <w:tcW w:w="960" w:type="dxa"/>
            <w:vMerge w:val="restart"/>
            <w:tcBorders>
              <w:top w:val="nil"/>
              <w:left w:val="nil"/>
              <w:bottom w:val="nil"/>
              <w:right w:val="nil"/>
            </w:tcBorders>
            <w:shd w:val="clear" w:color="000000" w:fill="F2F2F2"/>
            <w:noWrap/>
            <w:vAlign w:val="center"/>
            <w:hideMark/>
          </w:tcPr>
          <w:p w14:paraId="3A1C5764"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nil"/>
              <w:left w:val="nil"/>
              <w:bottom w:val="nil"/>
              <w:right w:val="nil"/>
            </w:tcBorders>
            <w:shd w:val="clear" w:color="000000" w:fill="F2F2F2"/>
            <w:noWrap/>
            <w:vAlign w:val="bottom"/>
            <w:hideMark/>
          </w:tcPr>
          <w:p w14:paraId="6C51747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2F2F2"/>
            <w:noWrap/>
            <w:vAlign w:val="bottom"/>
            <w:hideMark/>
          </w:tcPr>
          <w:p w14:paraId="0BEDCA9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040" w:type="dxa"/>
            <w:tcBorders>
              <w:top w:val="nil"/>
              <w:left w:val="nil"/>
              <w:bottom w:val="nil"/>
              <w:right w:val="nil"/>
            </w:tcBorders>
            <w:shd w:val="clear" w:color="000000" w:fill="F2F2F2"/>
            <w:noWrap/>
            <w:vAlign w:val="bottom"/>
            <w:hideMark/>
          </w:tcPr>
          <w:p w14:paraId="3C8259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1740" w:type="dxa"/>
            <w:tcBorders>
              <w:top w:val="nil"/>
              <w:left w:val="nil"/>
              <w:bottom w:val="nil"/>
              <w:right w:val="nil"/>
            </w:tcBorders>
            <w:shd w:val="clear" w:color="000000" w:fill="F2F2F2"/>
            <w:noWrap/>
            <w:vAlign w:val="bottom"/>
            <w:hideMark/>
          </w:tcPr>
          <w:p w14:paraId="6FC2921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140" w:type="dxa"/>
            <w:tcBorders>
              <w:top w:val="nil"/>
              <w:left w:val="nil"/>
              <w:bottom w:val="nil"/>
              <w:right w:val="nil"/>
            </w:tcBorders>
            <w:shd w:val="clear" w:color="000000" w:fill="F2F2F2"/>
            <w:noWrap/>
            <w:vAlign w:val="bottom"/>
            <w:hideMark/>
          </w:tcPr>
          <w:p w14:paraId="166BD7D3" w14:textId="60DB8829"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1</w:t>
            </w:r>
          </w:p>
        </w:tc>
      </w:tr>
      <w:tr w:rsidR="005D372E" w:rsidRPr="005D372E" w14:paraId="46601F8D"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2FE69AD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3CCF634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7B1F881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03B474C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040" w:type="dxa"/>
            <w:tcBorders>
              <w:top w:val="nil"/>
              <w:left w:val="nil"/>
              <w:bottom w:val="nil"/>
              <w:right w:val="nil"/>
            </w:tcBorders>
            <w:shd w:val="clear" w:color="000000" w:fill="F2F2F2"/>
            <w:noWrap/>
            <w:vAlign w:val="bottom"/>
            <w:hideMark/>
          </w:tcPr>
          <w:p w14:paraId="3CF1E15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740" w:type="dxa"/>
            <w:tcBorders>
              <w:top w:val="nil"/>
              <w:left w:val="nil"/>
              <w:bottom w:val="nil"/>
              <w:right w:val="nil"/>
            </w:tcBorders>
            <w:shd w:val="clear" w:color="000000" w:fill="F2F2F2"/>
            <w:noWrap/>
            <w:vAlign w:val="bottom"/>
            <w:hideMark/>
          </w:tcPr>
          <w:p w14:paraId="265DE28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140" w:type="dxa"/>
            <w:tcBorders>
              <w:top w:val="nil"/>
              <w:left w:val="nil"/>
              <w:bottom w:val="nil"/>
              <w:right w:val="nil"/>
            </w:tcBorders>
            <w:shd w:val="clear" w:color="000000" w:fill="F2F2F2"/>
            <w:noWrap/>
            <w:vAlign w:val="bottom"/>
            <w:hideMark/>
          </w:tcPr>
          <w:p w14:paraId="7AC72EE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6E4D0B0"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70A73BF6"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5AB4411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503282A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3CCAEB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040" w:type="dxa"/>
            <w:tcBorders>
              <w:top w:val="nil"/>
              <w:left w:val="nil"/>
              <w:bottom w:val="nil"/>
              <w:right w:val="nil"/>
            </w:tcBorders>
            <w:shd w:val="clear" w:color="000000" w:fill="F2F2F2"/>
            <w:noWrap/>
            <w:vAlign w:val="bottom"/>
            <w:hideMark/>
          </w:tcPr>
          <w:p w14:paraId="4FCBAF3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740" w:type="dxa"/>
            <w:tcBorders>
              <w:top w:val="nil"/>
              <w:left w:val="nil"/>
              <w:bottom w:val="nil"/>
              <w:right w:val="nil"/>
            </w:tcBorders>
            <w:shd w:val="clear" w:color="000000" w:fill="F2F2F2"/>
            <w:noWrap/>
            <w:vAlign w:val="bottom"/>
            <w:hideMark/>
          </w:tcPr>
          <w:p w14:paraId="540D78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140" w:type="dxa"/>
            <w:tcBorders>
              <w:top w:val="nil"/>
              <w:left w:val="nil"/>
              <w:bottom w:val="nil"/>
              <w:right w:val="nil"/>
            </w:tcBorders>
            <w:shd w:val="clear" w:color="000000" w:fill="F2F2F2"/>
            <w:noWrap/>
            <w:vAlign w:val="bottom"/>
            <w:hideMark/>
          </w:tcPr>
          <w:p w14:paraId="23E1C23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7C5C9DAC"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3326AA7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D661F0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1C0FED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63FCAFC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040" w:type="dxa"/>
            <w:tcBorders>
              <w:top w:val="nil"/>
              <w:left w:val="nil"/>
              <w:bottom w:val="nil"/>
              <w:right w:val="nil"/>
            </w:tcBorders>
            <w:shd w:val="clear" w:color="000000" w:fill="F2F2F2"/>
            <w:noWrap/>
            <w:vAlign w:val="bottom"/>
            <w:hideMark/>
          </w:tcPr>
          <w:p w14:paraId="6FF152C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740" w:type="dxa"/>
            <w:tcBorders>
              <w:top w:val="nil"/>
              <w:left w:val="nil"/>
              <w:bottom w:val="nil"/>
              <w:right w:val="nil"/>
            </w:tcBorders>
            <w:shd w:val="clear" w:color="000000" w:fill="F2F2F2"/>
            <w:noWrap/>
            <w:vAlign w:val="bottom"/>
            <w:hideMark/>
          </w:tcPr>
          <w:p w14:paraId="1802283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140" w:type="dxa"/>
            <w:tcBorders>
              <w:top w:val="nil"/>
              <w:left w:val="nil"/>
              <w:bottom w:val="nil"/>
              <w:right w:val="nil"/>
            </w:tcBorders>
            <w:shd w:val="clear" w:color="000000" w:fill="F2F2F2"/>
            <w:noWrap/>
            <w:vAlign w:val="bottom"/>
            <w:hideMark/>
          </w:tcPr>
          <w:p w14:paraId="25CE749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5DF60851"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0819CC3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0BD2AA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541966F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6D8FCA9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040" w:type="dxa"/>
            <w:tcBorders>
              <w:top w:val="nil"/>
              <w:left w:val="nil"/>
              <w:bottom w:val="nil"/>
              <w:right w:val="nil"/>
            </w:tcBorders>
            <w:shd w:val="clear" w:color="000000" w:fill="F2F2F2"/>
            <w:noWrap/>
            <w:vAlign w:val="bottom"/>
            <w:hideMark/>
          </w:tcPr>
          <w:p w14:paraId="405C4A9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740" w:type="dxa"/>
            <w:tcBorders>
              <w:top w:val="nil"/>
              <w:left w:val="nil"/>
              <w:bottom w:val="nil"/>
              <w:right w:val="nil"/>
            </w:tcBorders>
            <w:shd w:val="clear" w:color="000000" w:fill="F2F2F2"/>
            <w:noWrap/>
            <w:vAlign w:val="bottom"/>
            <w:hideMark/>
          </w:tcPr>
          <w:p w14:paraId="2FA74CC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140" w:type="dxa"/>
            <w:tcBorders>
              <w:top w:val="nil"/>
              <w:left w:val="nil"/>
              <w:bottom w:val="nil"/>
              <w:right w:val="nil"/>
            </w:tcBorders>
            <w:shd w:val="clear" w:color="000000" w:fill="F2F2F2"/>
            <w:noWrap/>
            <w:vAlign w:val="bottom"/>
            <w:hideMark/>
          </w:tcPr>
          <w:p w14:paraId="4038CB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9C4F79E"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42A9E4B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0AB9144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794BDE0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6E91A48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040" w:type="dxa"/>
            <w:tcBorders>
              <w:top w:val="nil"/>
              <w:left w:val="nil"/>
              <w:bottom w:val="nil"/>
              <w:right w:val="nil"/>
            </w:tcBorders>
            <w:shd w:val="clear" w:color="000000" w:fill="F2F2F2"/>
            <w:noWrap/>
            <w:vAlign w:val="bottom"/>
            <w:hideMark/>
          </w:tcPr>
          <w:p w14:paraId="6460F3B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740" w:type="dxa"/>
            <w:tcBorders>
              <w:top w:val="nil"/>
              <w:left w:val="nil"/>
              <w:bottom w:val="nil"/>
              <w:right w:val="nil"/>
            </w:tcBorders>
            <w:shd w:val="clear" w:color="000000" w:fill="F2F2F2"/>
            <w:noWrap/>
            <w:vAlign w:val="bottom"/>
            <w:hideMark/>
          </w:tcPr>
          <w:p w14:paraId="7672308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140" w:type="dxa"/>
            <w:tcBorders>
              <w:top w:val="nil"/>
              <w:left w:val="nil"/>
              <w:bottom w:val="nil"/>
              <w:right w:val="nil"/>
            </w:tcBorders>
            <w:shd w:val="clear" w:color="000000" w:fill="F2F2F2"/>
            <w:noWrap/>
            <w:vAlign w:val="bottom"/>
            <w:hideMark/>
          </w:tcPr>
          <w:p w14:paraId="15BDB49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223A9DE"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045C332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single" w:sz="12" w:space="0" w:color="000000"/>
              <w:right w:val="nil"/>
            </w:tcBorders>
            <w:shd w:val="clear" w:color="auto" w:fill="auto"/>
            <w:noWrap/>
            <w:vAlign w:val="center"/>
            <w:hideMark/>
          </w:tcPr>
          <w:p w14:paraId="602429D3"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666573B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5D16360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040" w:type="dxa"/>
            <w:tcBorders>
              <w:top w:val="nil"/>
              <w:left w:val="nil"/>
              <w:bottom w:val="nil"/>
              <w:right w:val="nil"/>
            </w:tcBorders>
            <w:shd w:val="clear" w:color="000000" w:fill="FFFFFF"/>
            <w:noWrap/>
            <w:vAlign w:val="bottom"/>
            <w:hideMark/>
          </w:tcPr>
          <w:p w14:paraId="3823D45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740" w:type="dxa"/>
            <w:tcBorders>
              <w:top w:val="nil"/>
              <w:left w:val="nil"/>
              <w:bottom w:val="nil"/>
              <w:right w:val="nil"/>
            </w:tcBorders>
            <w:shd w:val="clear" w:color="000000" w:fill="FFFFFF"/>
            <w:noWrap/>
            <w:vAlign w:val="bottom"/>
            <w:hideMark/>
          </w:tcPr>
          <w:p w14:paraId="51958B4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140" w:type="dxa"/>
            <w:tcBorders>
              <w:top w:val="nil"/>
              <w:left w:val="nil"/>
              <w:bottom w:val="nil"/>
              <w:right w:val="nil"/>
            </w:tcBorders>
            <w:shd w:val="clear" w:color="000000" w:fill="FFFFFF"/>
            <w:noWrap/>
            <w:vAlign w:val="bottom"/>
            <w:hideMark/>
          </w:tcPr>
          <w:p w14:paraId="710D312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79DA75F6"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4D38778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0A4D38C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4F87E48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2B56549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040" w:type="dxa"/>
            <w:tcBorders>
              <w:top w:val="nil"/>
              <w:left w:val="nil"/>
              <w:bottom w:val="nil"/>
              <w:right w:val="nil"/>
            </w:tcBorders>
            <w:shd w:val="clear" w:color="000000" w:fill="FFFFFF"/>
            <w:noWrap/>
            <w:vAlign w:val="bottom"/>
            <w:hideMark/>
          </w:tcPr>
          <w:p w14:paraId="29F857B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740" w:type="dxa"/>
            <w:tcBorders>
              <w:top w:val="nil"/>
              <w:left w:val="nil"/>
              <w:bottom w:val="nil"/>
              <w:right w:val="nil"/>
            </w:tcBorders>
            <w:shd w:val="clear" w:color="000000" w:fill="FFFFFF"/>
            <w:noWrap/>
            <w:vAlign w:val="bottom"/>
            <w:hideMark/>
          </w:tcPr>
          <w:p w14:paraId="3749AAB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140" w:type="dxa"/>
            <w:tcBorders>
              <w:top w:val="nil"/>
              <w:left w:val="nil"/>
              <w:bottom w:val="nil"/>
              <w:right w:val="nil"/>
            </w:tcBorders>
            <w:shd w:val="clear" w:color="000000" w:fill="FFFFFF"/>
            <w:noWrap/>
            <w:vAlign w:val="bottom"/>
            <w:hideMark/>
          </w:tcPr>
          <w:p w14:paraId="202656B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6B5DD64B"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4CEC4E6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2087F4B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1AC41EF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70E5E28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040" w:type="dxa"/>
            <w:tcBorders>
              <w:top w:val="nil"/>
              <w:left w:val="nil"/>
              <w:bottom w:val="nil"/>
              <w:right w:val="nil"/>
            </w:tcBorders>
            <w:shd w:val="clear" w:color="000000" w:fill="FFFFFF"/>
            <w:noWrap/>
            <w:vAlign w:val="bottom"/>
            <w:hideMark/>
          </w:tcPr>
          <w:p w14:paraId="3E30DA6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740" w:type="dxa"/>
            <w:tcBorders>
              <w:top w:val="nil"/>
              <w:left w:val="nil"/>
              <w:bottom w:val="nil"/>
              <w:right w:val="nil"/>
            </w:tcBorders>
            <w:shd w:val="clear" w:color="000000" w:fill="FFFFFF"/>
            <w:noWrap/>
            <w:vAlign w:val="bottom"/>
            <w:hideMark/>
          </w:tcPr>
          <w:p w14:paraId="73371DB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140" w:type="dxa"/>
            <w:tcBorders>
              <w:top w:val="nil"/>
              <w:left w:val="nil"/>
              <w:bottom w:val="nil"/>
              <w:right w:val="nil"/>
            </w:tcBorders>
            <w:shd w:val="clear" w:color="000000" w:fill="FFFFFF"/>
            <w:noWrap/>
            <w:vAlign w:val="bottom"/>
            <w:hideMark/>
          </w:tcPr>
          <w:p w14:paraId="247D060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3225E326"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09F2F69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48EA650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6331BE0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0653737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040" w:type="dxa"/>
            <w:tcBorders>
              <w:top w:val="nil"/>
              <w:left w:val="nil"/>
              <w:bottom w:val="nil"/>
              <w:right w:val="nil"/>
            </w:tcBorders>
            <w:shd w:val="clear" w:color="000000" w:fill="FFFFFF"/>
            <w:noWrap/>
            <w:vAlign w:val="bottom"/>
            <w:hideMark/>
          </w:tcPr>
          <w:p w14:paraId="4A80CE0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740" w:type="dxa"/>
            <w:tcBorders>
              <w:top w:val="nil"/>
              <w:left w:val="nil"/>
              <w:bottom w:val="nil"/>
              <w:right w:val="nil"/>
            </w:tcBorders>
            <w:shd w:val="clear" w:color="000000" w:fill="FFFFFF"/>
            <w:noWrap/>
            <w:vAlign w:val="bottom"/>
            <w:hideMark/>
          </w:tcPr>
          <w:p w14:paraId="4A6BE44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140" w:type="dxa"/>
            <w:tcBorders>
              <w:top w:val="nil"/>
              <w:left w:val="nil"/>
              <w:bottom w:val="nil"/>
              <w:right w:val="nil"/>
            </w:tcBorders>
            <w:shd w:val="clear" w:color="000000" w:fill="FFFFFF"/>
            <w:noWrap/>
            <w:vAlign w:val="bottom"/>
            <w:hideMark/>
          </w:tcPr>
          <w:p w14:paraId="2821C24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32C5C2A2"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7287F0B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642B448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6AF095A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2AA9303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040" w:type="dxa"/>
            <w:tcBorders>
              <w:top w:val="nil"/>
              <w:left w:val="nil"/>
              <w:bottom w:val="nil"/>
              <w:right w:val="nil"/>
            </w:tcBorders>
            <w:shd w:val="clear" w:color="000000" w:fill="FFFFFF"/>
            <w:noWrap/>
            <w:vAlign w:val="bottom"/>
            <w:hideMark/>
          </w:tcPr>
          <w:p w14:paraId="37AC334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740" w:type="dxa"/>
            <w:tcBorders>
              <w:top w:val="nil"/>
              <w:left w:val="nil"/>
              <w:bottom w:val="nil"/>
              <w:right w:val="nil"/>
            </w:tcBorders>
            <w:shd w:val="clear" w:color="000000" w:fill="FFFFFF"/>
            <w:noWrap/>
            <w:vAlign w:val="bottom"/>
            <w:hideMark/>
          </w:tcPr>
          <w:p w14:paraId="64372D1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140" w:type="dxa"/>
            <w:tcBorders>
              <w:top w:val="nil"/>
              <w:left w:val="nil"/>
              <w:bottom w:val="nil"/>
              <w:right w:val="nil"/>
            </w:tcBorders>
            <w:shd w:val="clear" w:color="000000" w:fill="FFFFFF"/>
            <w:noWrap/>
            <w:vAlign w:val="bottom"/>
            <w:hideMark/>
          </w:tcPr>
          <w:p w14:paraId="33C8A09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623B09D"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67C88B6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1398E45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single" w:sz="12" w:space="0" w:color="auto"/>
              <w:right w:val="nil"/>
            </w:tcBorders>
            <w:shd w:val="clear" w:color="000000" w:fill="FFFFFF"/>
            <w:noWrap/>
            <w:vAlign w:val="bottom"/>
            <w:hideMark/>
          </w:tcPr>
          <w:p w14:paraId="6B7D4D26" w14:textId="651D289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single" w:sz="12" w:space="0" w:color="auto"/>
              <w:right w:val="nil"/>
            </w:tcBorders>
            <w:shd w:val="clear" w:color="000000" w:fill="FFFFFF"/>
            <w:noWrap/>
            <w:vAlign w:val="bottom"/>
            <w:hideMark/>
          </w:tcPr>
          <w:p w14:paraId="41059FB1" w14:textId="52125FA4" w:rsidR="005D372E" w:rsidRPr="005D372E" w:rsidRDefault="005E4DE3" w:rsidP="005D372E">
            <w:pPr>
              <w:suppressAutoHyphens w:val="0"/>
              <w:autoSpaceDN/>
              <w:jc w:val="center"/>
              <w:textAlignment w:val="auto"/>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9.9</w:t>
            </w:r>
          </w:p>
        </w:tc>
        <w:tc>
          <w:tcPr>
            <w:tcW w:w="1040" w:type="dxa"/>
            <w:tcBorders>
              <w:top w:val="nil"/>
              <w:left w:val="nil"/>
              <w:bottom w:val="single" w:sz="12" w:space="0" w:color="auto"/>
              <w:right w:val="nil"/>
            </w:tcBorders>
            <w:shd w:val="clear" w:color="000000" w:fill="FFFFFF"/>
            <w:noWrap/>
            <w:vAlign w:val="bottom"/>
            <w:hideMark/>
          </w:tcPr>
          <w:p w14:paraId="0FCC30EE" w14:textId="6761CB51"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740" w:type="dxa"/>
            <w:tcBorders>
              <w:top w:val="nil"/>
              <w:left w:val="nil"/>
              <w:bottom w:val="single" w:sz="12" w:space="0" w:color="auto"/>
              <w:right w:val="nil"/>
            </w:tcBorders>
            <w:shd w:val="clear" w:color="000000" w:fill="FFFFFF"/>
            <w:noWrap/>
            <w:vAlign w:val="bottom"/>
            <w:hideMark/>
          </w:tcPr>
          <w:p w14:paraId="277DD5F5" w14:textId="0003A47A"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140" w:type="dxa"/>
            <w:tcBorders>
              <w:top w:val="nil"/>
              <w:left w:val="nil"/>
              <w:bottom w:val="single" w:sz="12" w:space="0" w:color="auto"/>
              <w:right w:val="nil"/>
            </w:tcBorders>
            <w:shd w:val="clear" w:color="000000" w:fill="FFFFFF"/>
            <w:noWrap/>
            <w:vAlign w:val="bottom"/>
            <w:hideMark/>
          </w:tcPr>
          <w:p w14:paraId="2185D406" w14:textId="3FEF9CE6" w:rsidR="005D372E" w:rsidRPr="005D372E" w:rsidRDefault="005E4DE3" w:rsidP="005D372E">
            <w:pPr>
              <w:suppressAutoHyphens w:val="0"/>
              <w:autoSpaceDN/>
              <w:jc w:val="center"/>
              <w:textAlignment w:val="auto"/>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0.0</w:t>
            </w:r>
          </w:p>
        </w:tc>
      </w:tr>
    </w:tbl>
    <w:p w14:paraId="793F2782" w14:textId="48E8892D" w:rsidR="005D372E" w:rsidRDefault="005D372E" w:rsidP="005D372E">
      <w:pPr>
        <w:pStyle w:val="Body"/>
      </w:pPr>
      <w:r>
        <w:br w:type="page"/>
      </w:r>
    </w:p>
    <w:p w14:paraId="1BE36E7F" w14:textId="060E4CBE" w:rsidR="00C44781" w:rsidRDefault="008E6151" w:rsidP="008E6151">
      <w:pPr>
        <w:pStyle w:val="Heading1"/>
      </w:pPr>
      <w:bookmarkStart w:id="162" w:name="_Toc109123112"/>
      <w:r>
        <w:lastRenderedPageBreak/>
        <w:t>APPENDIX B</w:t>
      </w:r>
      <w:r>
        <w:br/>
        <w:t>Additional Field Campaigns</w:t>
      </w:r>
      <w:bookmarkEnd w:id="162"/>
    </w:p>
    <w:p w14:paraId="6DA2D8D5" w14:textId="6A6C7F9C" w:rsidR="008E6151" w:rsidRPr="00511C85" w:rsidRDefault="000700E5" w:rsidP="00823B2B">
      <w:pPr>
        <w:pStyle w:val="Body"/>
        <w:rPr>
          <w:rFonts w:cs="Times New Roman"/>
        </w:rPr>
      </w:pPr>
      <w:r>
        <w:t xml:space="preserve">Melting layer in-situ </w:t>
      </w:r>
      <w:r w:rsidR="001656E8">
        <w:t>observations</w:t>
      </w:r>
      <w:r w:rsidR="00573189">
        <w:t xml:space="preserve"> </w:t>
      </w:r>
      <w:r w:rsidR="001656E8">
        <w:t>are</w:t>
      </w:r>
      <w:r w:rsidR="00573189">
        <w:t xml:space="preserve"> available from</w:t>
      </w:r>
      <w:r w:rsidR="00987A6F">
        <w:t xml:space="preserve"> additional recent NASA field campaigns (</w:t>
      </w:r>
      <w:r w:rsidR="00987A6F">
        <w:fldChar w:fldCharType="begin"/>
      </w:r>
      <w:r w:rsidR="00987A6F">
        <w:instrText xml:space="preserve"> REF _Ref109570615 \h </w:instrText>
      </w:r>
      <w:r w:rsidR="00987A6F">
        <w:fldChar w:fldCharType="separate"/>
      </w:r>
      <w:r w:rsidR="00987A6F">
        <w:t>Table B</w:t>
      </w:r>
      <w:r w:rsidR="00987A6F">
        <w:rPr>
          <w:noProof/>
        </w:rPr>
        <w:t>1</w:t>
      </w:r>
      <w:r w:rsidR="00987A6F">
        <w:fldChar w:fldCharType="end"/>
      </w:r>
      <w:r w:rsidR="00987A6F">
        <w:t>).</w:t>
      </w:r>
      <w:r w:rsidR="00573189">
        <w:t xml:space="preserve"> </w:t>
      </w:r>
      <w:r w:rsidR="00691248">
        <w:t xml:space="preserve">The </w:t>
      </w:r>
      <w:r w:rsidR="000C11F4">
        <w:t xml:space="preserve">additional field campaigns </w:t>
      </w:r>
      <w:r w:rsidR="00691248">
        <w:t>spanned from 2001 to 2010</w:t>
      </w:r>
      <w:r w:rsidR="00066650">
        <w:t xml:space="preserve"> and </w:t>
      </w:r>
      <w:r w:rsidR="00302D52">
        <w:t>focused on</w:t>
      </w:r>
      <w:r w:rsidR="000C11F4">
        <w:t xml:space="preserve"> a variety of storm environments</w:t>
      </w:r>
      <w:r w:rsidR="00066650">
        <w:t xml:space="preserve"> and cloud types</w:t>
      </w:r>
      <w:r w:rsidR="003F2358">
        <w:t xml:space="preserve">. Airborne instrumentation included a suite of </w:t>
      </w:r>
      <w:r w:rsidR="000C11F4">
        <w:t xml:space="preserve">microphysics and thermodynamics </w:t>
      </w:r>
      <w:r w:rsidR="003F2358">
        <w:t>probes</w:t>
      </w:r>
      <w:r w:rsidR="000C11F4">
        <w:t>.</w:t>
      </w:r>
      <w:r w:rsidR="00677B4A">
        <w:t xml:space="preserve"> Imaging prob</w:t>
      </w:r>
      <w:r w:rsidR="00A0026C">
        <w:t>e</w:t>
      </w:r>
      <w:r w:rsidR="00691248">
        <w:t>s</w:t>
      </w:r>
      <w:r w:rsidR="00A0026C">
        <w:t xml:space="preserve"> provide similar measurements to the 2D-S and HVPS3</w:t>
      </w:r>
      <w:r w:rsidR="00691248">
        <w:t>; although</w:t>
      </w:r>
      <w:r w:rsidR="00A0026C">
        <w:t>, at lower</w:t>
      </w:r>
      <w:r w:rsidR="00727706">
        <w:t xml:space="preserve"> pixel</w:t>
      </w:r>
      <w:r w:rsidR="00A0026C">
        <w:t xml:space="preserve"> resolution</w:t>
      </w:r>
      <w:r w:rsidR="00727706">
        <w:t>s</w:t>
      </w:r>
      <w:r w:rsidR="00A0026C">
        <w:t>.</w:t>
      </w:r>
      <w:r w:rsidR="00517EF2">
        <w:t xml:space="preserve"> </w:t>
      </w:r>
      <w:r w:rsidR="00283D7C">
        <w:t>The</w:t>
      </w:r>
      <w:r w:rsidR="005A27C6">
        <w:t xml:space="preserve"> date</w:t>
      </w:r>
      <w:r w:rsidR="00666275">
        <w:t>s</w:t>
      </w:r>
      <w:r w:rsidR="005A27C6">
        <w:t xml:space="preserve"> and</w:t>
      </w:r>
      <w:r w:rsidR="00283D7C">
        <w:t xml:space="preserve"> </w:t>
      </w:r>
      <w:r w:rsidR="005A27C6">
        <w:t>times</w:t>
      </w:r>
      <w:r w:rsidR="00283D7C">
        <w:t xml:space="preserve"> of potential melting layer profiles</w:t>
      </w:r>
      <w:r w:rsidR="005A27C6">
        <w:t xml:space="preserve"> for further analysis</w:t>
      </w:r>
      <w:r w:rsidR="00283D7C">
        <w:t xml:space="preserve"> are identified (</w:t>
      </w:r>
      <w:r w:rsidR="00283D7C">
        <w:fldChar w:fldCharType="begin"/>
      </w:r>
      <w:r w:rsidR="00283D7C">
        <w:instrText xml:space="preserve"> REF _Ref109570615 \h </w:instrText>
      </w:r>
      <w:r w:rsidR="00283D7C">
        <w:fldChar w:fldCharType="separate"/>
      </w:r>
      <w:r w:rsidR="00283D7C">
        <w:t>Table B</w:t>
      </w:r>
      <w:r w:rsidR="00283D7C">
        <w:rPr>
          <w:noProof/>
        </w:rPr>
        <w:t>1</w:t>
      </w:r>
      <w:r w:rsidR="00283D7C">
        <w:fldChar w:fldCharType="end"/>
      </w:r>
      <w:r w:rsidR="00283D7C">
        <w:t>).</w:t>
      </w:r>
    </w:p>
    <w:p w14:paraId="4E074E97" w14:textId="2CEFA6B1" w:rsidR="008578AB" w:rsidRDefault="008578AB" w:rsidP="008578AB">
      <w:pPr>
        <w:pStyle w:val="Caption-Table"/>
      </w:pPr>
      <w:bookmarkStart w:id="163" w:name="_Ref109570615"/>
      <w:r>
        <w:t>Table B</w:t>
      </w:r>
      <w:r>
        <w:fldChar w:fldCharType="begin"/>
      </w:r>
      <w:r>
        <w:instrText xml:space="preserve"> SEQ B \* ARABIC </w:instrText>
      </w:r>
      <w:r>
        <w:fldChar w:fldCharType="separate"/>
      </w:r>
      <w:r w:rsidR="00987A6F">
        <w:rPr>
          <w:noProof/>
        </w:rPr>
        <w:t>1</w:t>
      </w:r>
      <w:r>
        <w:fldChar w:fldCharType="end"/>
      </w:r>
      <w:bookmarkStart w:id="164" w:name="__RefHeading___Toc10994_315254120"/>
      <w:bookmarkEnd w:id="163"/>
      <w:r>
        <w:t>: Table showing the dates and times</w:t>
      </w:r>
      <w:r w:rsidR="00BE0EBD">
        <w:t xml:space="preserve"> in seconds from midnight (sfm)</w:t>
      </w:r>
      <w:r>
        <w:t xml:space="preserve"> of potential melting layer profiles from the additional field campaigns.</w:t>
      </w:r>
      <w:r w:rsidR="002779E9">
        <w:t xml:space="preserve"> Field project acronyms used are</w:t>
      </w:r>
      <w:r w:rsidR="00F8377A">
        <w:t xml:space="preserve"> fourth Convection </w:t>
      </w:r>
      <w:proofErr w:type="gramStart"/>
      <w:r w:rsidR="00F8377A">
        <w:t>And</w:t>
      </w:r>
      <w:proofErr w:type="gramEnd"/>
      <w:r w:rsidR="00F8377A">
        <w:t xml:space="preserve"> Moisture Experiment (CAMEX-4)</w:t>
      </w:r>
      <w:r w:rsidR="001E20DA">
        <w:t xml:space="preserve">; Cirrus Regional Study of Tropical Anvils and Cirrus Layers – Florida Area Cirrus Experiment (CRYSTAL-FACE); </w:t>
      </w:r>
      <w:r w:rsidR="00C24442">
        <w:t>NASA African Monsoon Multidisciplinary Analyses (NAMMA); Tropical Composition, Cloud, and Climate Coupling (TC4)</w:t>
      </w:r>
      <w:r w:rsidR="00353AEE">
        <w:t>,</w:t>
      </w:r>
      <w:r w:rsidR="00943A91">
        <w:t xml:space="preserve"> Light Precipitation Evaluation Experiment (LPVEX).</w:t>
      </w:r>
    </w:p>
    <w:tbl>
      <w:tblPr>
        <w:tblW w:w="9360" w:type="dxa"/>
        <w:jc w:val="center"/>
        <w:tblBorders>
          <w:top w:val="single" w:sz="12" w:space="0" w:color="auto"/>
          <w:bottom w:val="single" w:sz="12" w:space="0" w:color="auto"/>
        </w:tblBorders>
        <w:tblLayout w:type="fixed"/>
        <w:tblCellMar>
          <w:left w:w="10" w:type="dxa"/>
          <w:right w:w="10" w:type="dxa"/>
        </w:tblCellMar>
        <w:tblLook w:val="04A0" w:firstRow="1" w:lastRow="0" w:firstColumn="1" w:lastColumn="0" w:noHBand="0" w:noVBand="1"/>
      </w:tblPr>
      <w:tblGrid>
        <w:gridCol w:w="1990"/>
        <w:gridCol w:w="1999"/>
        <w:gridCol w:w="2291"/>
        <w:gridCol w:w="3080"/>
      </w:tblGrid>
      <w:tr w:rsidR="0089575D" w:rsidRPr="00511C85" w14:paraId="02B8B78C" w14:textId="77777777" w:rsidTr="002779E9">
        <w:trPr>
          <w:trHeight w:val="20"/>
          <w:jc w:val="center"/>
        </w:trPr>
        <w:tc>
          <w:tcPr>
            <w:tcW w:w="1990" w:type="dxa"/>
            <w:tcBorders>
              <w:bottom w:val="nil"/>
            </w:tcBorders>
            <w:shd w:val="clear" w:color="auto" w:fill="FFFFFF"/>
            <w:vAlign w:val="center"/>
          </w:tcPr>
          <w:p w14:paraId="6CE2552F" w14:textId="25D8841D" w:rsidR="0089575D" w:rsidRPr="00511C85" w:rsidRDefault="0089575D" w:rsidP="002779E9">
            <w:pPr>
              <w:rPr>
                <w:rFonts w:ascii="Times New Roman" w:eastAsia="Times New Roman" w:hAnsi="Times New Roman" w:cs="Times New Roman"/>
                <w:b/>
                <w:bCs/>
              </w:rPr>
            </w:pPr>
            <w:r w:rsidRPr="00511C85">
              <w:rPr>
                <w:rFonts w:ascii="Times New Roman" w:eastAsia="Times New Roman" w:hAnsi="Times New Roman" w:cs="Times New Roman"/>
                <w:b/>
                <w:bCs/>
              </w:rPr>
              <w:t>Project</w:t>
            </w:r>
          </w:p>
        </w:tc>
        <w:tc>
          <w:tcPr>
            <w:tcW w:w="1999" w:type="dxa"/>
            <w:tcBorders>
              <w:bottom w:val="nil"/>
            </w:tcBorders>
            <w:shd w:val="clear" w:color="auto" w:fill="FFFFFF"/>
            <w:noWrap/>
            <w:tcMar>
              <w:top w:w="0" w:type="dxa"/>
              <w:left w:w="108" w:type="dxa"/>
              <w:bottom w:w="0" w:type="dxa"/>
              <w:right w:w="108" w:type="dxa"/>
            </w:tcMar>
            <w:vAlign w:val="center"/>
          </w:tcPr>
          <w:p w14:paraId="45103465" w14:textId="7EC1D3AB"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Date</w:t>
            </w:r>
          </w:p>
        </w:tc>
        <w:tc>
          <w:tcPr>
            <w:tcW w:w="2291" w:type="dxa"/>
            <w:tcBorders>
              <w:bottom w:val="nil"/>
            </w:tcBorders>
            <w:shd w:val="clear" w:color="auto" w:fill="FFFFFF"/>
            <w:noWrap/>
            <w:tcMar>
              <w:top w:w="0" w:type="dxa"/>
              <w:left w:w="108" w:type="dxa"/>
              <w:bottom w:w="0" w:type="dxa"/>
              <w:right w:w="108" w:type="dxa"/>
            </w:tcMar>
            <w:vAlign w:val="center"/>
          </w:tcPr>
          <w:p w14:paraId="19B6D704" w14:textId="50891E09"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Start</w:t>
            </w:r>
            <w:r w:rsidR="00517EF2">
              <w:rPr>
                <w:rFonts w:ascii="Times New Roman" w:eastAsia="Times New Roman" w:hAnsi="Times New Roman" w:cs="Times New Roman"/>
                <w:b/>
                <w:bCs/>
              </w:rPr>
              <w:t xml:space="preserve"> Time</w:t>
            </w:r>
          </w:p>
        </w:tc>
        <w:tc>
          <w:tcPr>
            <w:tcW w:w="3080" w:type="dxa"/>
            <w:tcBorders>
              <w:bottom w:val="nil"/>
            </w:tcBorders>
            <w:shd w:val="clear" w:color="auto" w:fill="FFFFFF"/>
            <w:noWrap/>
            <w:tcMar>
              <w:top w:w="0" w:type="dxa"/>
              <w:left w:w="108" w:type="dxa"/>
              <w:bottom w:w="0" w:type="dxa"/>
              <w:right w:w="108" w:type="dxa"/>
            </w:tcMar>
            <w:vAlign w:val="center"/>
          </w:tcPr>
          <w:p w14:paraId="16638381" w14:textId="61ACA8DE"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End</w:t>
            </w:r>
            <w:r w:rsidR="00517EF2">
              <w:rPr>
                <w:rFonts w:ascii="Times New Roman" w:eastAsia="Times New Roman" w:hAnsi="Times New Roman" w:cs="Times New Roman"/>
                <w:b/>
                <w:bCs/>
              </w:rPr>
              <w:t xml:space="preserve"> Time</w:t>
            </w:r>
          </w:p>
        </w:tc>
      </w:tr>
      <w:tr w:rsidR="0089575D" w:rsidRPr="00511C85" w14:paraId="79589061" w14:textId="77777777" w:rsidTr="002779E9">
        <w:trPr>
          <w:trHeight w:val="20"/>
          <w:jc w:val="center"/>
        </w:trPr>
        <w:tc>
          <w:tcPr>
            <w:tcW w:w="1990" w:type="dxa"/>
            <w:tcBorders>
              <w:top w:val="nil"/>
              <w:bottom w:val="single" w:sz="4" w:space="0" w:color="auto"/>
            </w:tcBorders>
            <w:shd w:val="clear" w:color="auto" w:fill="FFFFFF"/>
            <w:vAlign w:val="center"/>
          </w:tcPr>
          <w:p w14:paraId="2424FB9E" w14:textId="77777777" w:rsidR="0089575D" w:rsidRPr="00511C85" w:rsidRDefault="0089575D" w:rsidP="002779E9">
            <w:pPr>
              <w:rPr>
                <w:rFonts w:ascii="Times New Roman" w:eastAsia="Times New Roman" w:hAnsi="Times New Roman" w:cs="Times New Roman"/>
                <w:b/>
                <w:bCs/>
              </w:rPr>
            </w:pPr>
          </w:p>
        </w:tc>
        <w:tc>
          <w:tcPr>
            <w:tcW w:w="1999" w:type="dxa"/>
            <w:tcBorders>
              <w:top w:val="nil"/>
              <w:bottom w:val="single" w:sz="4" w:space="0" w:color="auto"/>
            </w:tcBorders>
            <w:shd w:val="clear" w:color="auto" w:fill="FFFFFF"/>
            <w:noWrap/>
            <w:tcMar>
              <w:top w:w="0" w:type="dxa"/>
              <w:left w:w="108" w:type="dxa"/>
              <w:bottom w:w="0" w:type="dxa"/>
              <w:right w:w="108" w:type="dxa"/>
            </w:tcMar>
            <w:vAlign w:val="center"/>
          </w:tcPr>
          <w:p w14:paraId="77642B74" w14:textId="5F687869" w:rsidR="0089575D" w:rsidRPr="00511C85" w:rsidRDefault="00CC4F70" w:rsidP="0017295F">
            <w:pPr>
              <w:jc w:val="center"/>
              <w:rPr>
                <w:rFonts w:ascii="Times New Roman" w:eastAsia="Times New Roman" w:hAnsi="Times New Roman" w:cs="Times New Roman"/>
                <w:i/>
                <w:iCs/>
              </w:rPr>
            </w:pPr>
            <w:r w:rsidRPr="00511C85">
              <w:rPr>
                <w:rFonts w:ascii="Times New Roman" w:eastAsia="Times New Roman" w:hAnsi="Times New Roman" w:cs="Times New Roman"/>
                <w:i/>
                <w:iCs/>
              </w:rPr>
              <w:t>YYY</w:t>
            </w:r>
            <w:r w:rsidR="00666275">
              <w:rPr>
                <w:rFonts w:ascii="Times New Roman" w:eastAsia="Times New Roman" w:hAnsi="Times New Roman" w:cs="Times New Roman"/>
                <w:i/>
                <w:iCs/>
              </w:rPr>
              <w:t>Y</w:t>
            </w:r>
            <w:r w:rsidRPr="00511C85">
              <w:rPr>
                <w:rFonts w:ascii="Times New Roman" w:eastAsia="Times New Roman" w:hAnsi="Times New Roman" w:cs="Times New Roman"/>
                <w:i/>
                <w:iCs/>
              </w:rPr>
              <w:t>MMDD</w:t>
            </w:r>
          </w:p>
        </w:tc>
        <w:tc>
          <w:tcPr>
            <w:tcW w:w="2291" w:type="dxa"/>
            <w:tcBorders>
              <w:top w:val="nil"/>
              <w:bottom w:val="single" w:sz="4" w:space="0" w:color="auto"/>
            </w:tcBorders>
            <w:shd w:val="clear" w:color="auto" w:fill="FFFFFF"/>
            <w:noWrap/>
            <w:tcMar>
              <w:top w:w="0" w:type="dxa"/>
              <w:left w:w="108" w:type="dxa"/>
              <w:bottom w:w="0" w:type="dxa"/>
              <w:right w:w="108" w:type="dxa"/>
            </w:tcMar>
            <w:vAlign w:val="center"/>
          </w:tcPr>
          <w:p w14:paraId="58E40191" w14:textId="29A18774" w:rsidR="0089575D" w:rsidRPr="00511C85" w:rsidRDefault="00CC4F70" w:rsidP="0017295F">
            <w:pPr>
              <w:jc w:val="center"/>
              <w:rPr>
                <w:rFonts w:ascii="Times New Roman" w:eastAsia="Times New Roman" w:hAnsi="Times New Roman" w:cs="Times New Roman"/>
                <w:i/>
                <w:iCs/>
              </w:rPr>
            </w:pPr>
            <w:r w:rsidRPr="00511C85">
              <w:rPr>
                <w:rFonts w:ascii="Times New Roman" w:eastAsia="Times New Roman" w:hAnsi="Times New Roman" w:cs="Times New Roman"/>
                <w:i/>
                <w:iCs/>
              </w:rPr>
              <w:t>sfm</w:t>
            </w:r>
          </w:p>
        </w:tc>
        <w:tc>
          <w:tcPr>
            <w:tcW w:w="3080" w:type="dxa"/>
            <w:tcBorders>
              <w:top w:val="nil"/>
              <w:bottom w:val="single" w:sz="4" w:space="0" w:color="auto"/>
            </w:tcBorders>
            <w:shd w:val="clear" w:color="auto" w:fill="FFFFFF"/>
            <w:noWrap/>
            <w:tcMar>
              <w:top w:w="0" w:type="dxa"/>
              <w:left w:w="108" w:type="dxa"/>
              <w:bottom w:w="0" w:type="dxa"/>
              <w:right w:w="108" w:type="dxa"/>
            </w:tcMar>
            <w:vAlign w:val="center"/>
          </w:tcPr>
          <w:p w14:paraId="3E1CFE67" w14:textId="17F91CA5" w:rsidR="0089575D" w:rsidRPr="00511C85" w:rsidRDefault="00CC4F70" w:rsidP="0017295F">
            <w:pPr>
              <w:jc w:val="center"/>
              <w:rPr>
                <w:rFonts w:ascii="Times New Roman" w:eastAsia="Times New Roman" w:hAnsi="Times New Roman" w:cs="Times New Roman"/>
                <w:i/>
                <w:iCs/>
              </w:rPr>
            </w:pPr>
            <w:r w:rsidRPr="00511C85">
              <w:rPr>
                <w:rFonts w:ascii="Times New Roman" w:eastAsia="Times New Roman" w:hAnsi="Times New Roman" w:cs="Times New Roman"/>
                <w:i/>
                <w:iCs/>
              </w:rPr>
              <w:t>sfm</w:t>
            </w:r>
          </w:p>
        </w:tc>
      </w:tr>
      <w:tr w:rsidR="00F13022" w:rsidRPr="00511C85" w14:paraId="19D8DDCB" w14:textId="77777777" w:rsidTr="000605D7">
        <w:trPr>
          <w:trHeight w:val="20"/>
          <w:jc w:val="center"/>
        </w:trPr>
        <w:tc>
          <w:tcPr>
            <w:tcW w:w="1990" w:type="dxa"/>
            <w:vMerge w:val="restart"/>
            <w:shd w:val="clear" w:color="auto" w:fill="F2F2F2" w:themeFill="background1" w:themeFillShade="F2"/>
            <w:vAlign w:val="center"/>
          </w:tcPr>
          <w:p w14:paraId="1A276839" w14:textId="79BF79F6" w:rsidR="00F13022" w:rsidRPr="00511C85" w:rsidRDefault="002779E9" w:rsidP="002779E9">
            <w:pPr>
              <w:rPr>
                <w:rFonts w:ascii="Times New Roman" w:eastAsia="Times New Roman" w:hAnsi="Times New Roman" w:cs="Times New Roman"/>
              </w:rPr>
            </w:pPr>
            <w:r>
              <w:rPr>
                <w:rFonts w:ascii="Times New Roman" w:eastAsia="Times New Roman" w:hAnsi="Times New Roman" w:cs="Times New Roman"/>
              </w:rPr>
              <w:t>CAMEX-4</w:t>
            </w:r>
          </w:p>
        </w:tc>
        <w:tc>
          <w:tcPr>
            <w:tcW w:w="1999" w:type="dxa"/>
            <w:shd w:val="clear" w:color="auto" w:fill="F2F2F2" w:themeFill="background1" w:themeFillShade="F2"/>
            <w:noWrap/>
            <w:tcMar>
              <w:top w:w="0" w:type="dxa"/>
              <w:left w:w="108" w:type="dxa"/>
              <w:bottom w:w="0" w:type="dxa"/>
              <w:right w:w="108" w:type="dxa"/>
            </w:tcMar>
            <w:vAlign w:val="center"/>
          </w:tcPr>
          <w:p w14:paraId="39A9F6ED" w14:textId="1A7874D9"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20010924</w:t>
            </w:r>
          </w:p>
        </w:tc>
        <w:tc>
          <w:tcPr>
            <w:tcW w:w="2291" w:type="dxa"/>
            <w:shd w:val="clear" w:color="auto" w:fill="F2F2F2" w:themeFill="background1" w:themeFillShade="F2"/>
            <w:noWrap/>
            <w:tcMar>
              <w:top w:w="0" w:type="dxa"/>
              <w:left w:w="108" w:type="dxa"/>
              <w:bottom w:w="0" w:type="dxa"/>
              <w:right w:w="108" w:type="dxa"/>
            </w:tcMar>
            <w:vAlign w:val="center"/>
          </w:tcPr>
          <w:p w14:paraId="4872B412" w14:textId="7777777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96840</w:t>
            </w:r>
          </w:p>
        </w:tc>
        <w:tc>
          <w:tcPr>
            <w:tcW w:w="3080" w:type="dxa"/>
            <w:shd w:val="clear" w:color="auto" w:fill="F2F2F2" w:themeFill="background1" w:themeFillShade="F2"/>
            <w:noWrap/>
            <w:tcMar>
              <w:top w:w="0" w:type="dxa"/>
              <w:left w:w="108" w:type="dxa"/>
              <w:bottom w:w="0" w:type="dxa"/>
              <w:right w:w="108" w:type="dxa"/>
            </w:tcMar>
            <w:vAlign w:val="center"/>
          </w:tcPr>
          <w:p w14:paraId="7372E570" w14:textId="7777777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97020</w:t>
            </w:r>
          </w:p>
        </w:tc>
      </w:tr>
      <w:tr w:rsidR="00F13022" w:rsidRPr="00511C85" w14:paraId="51EABB2B" w14:textId="77777777" w:rsidTr="000605D7">
        <w:trPr>
          <w:trHeight w:val="20"/>
          <w:jc w:val="center"/>
        </w:trPr>
        <w:tc>
          <w:tcPr>
            <w:tcW w:w="1990" w:type="dxa"/>
            <w:vMerge/>
            <w:shd w:val="clear" w:color="auto" w:fill="F2F2F2" w:themeFill="background1" w:themeFillShade="F2"/>
            <w:vAlign w:val="center"/>
          </w:tcPr>
          <w:p w14:paraId="07E037DE" w14:textId="1CCCA259" w:rsidR="00F13022" w:rsidRPr="00511C85" w:rsidRDefault="00F13022" w:rsidP="002779E9">
            <w:pPr>
              <w:rPr>
                <w:rFonts w:ascii="Times New Roman" w:eastAsia="Times New Roman" w:hAnsi="Times New Roman" w:cs="Times New Roman"/>
              </w:rPr>
            </w:pPr>
          </w:p>
        </w:tc>
        <w:tc>
          <w:tcPr>
            <w:tcW w:w="1999" w:type="dxa"/>
            <w:shd w:val="clear" w:color="auto" w:fill="F2F2F2" w:themeFill="background1" w:themeFillShade="F2"/>
            <w:noWrap/>
            <w:tcMar>
              <w:top w:w="0" w:type="dxa"/>
              <w:left w:w="108" w:type="dxa"/>
              <w:bottom w:w="0" w:type="dxa"/>
              <w:right w:w="108" w:type="dxa"/>
            </w:tcMar>
            <w:vAlign w:val="center"/>
          </w:tcPr>
          <w:p w14:paraId="2DA4F7E4" w14:textId="6E929161"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20010909</w:t>
            </w:r>
          </w:p>
        </w:tc>
        <w:tc>
          <w:tcPr>
            <w:tcW w:w="2291" w:type="dxa"/>
            <w:shd w:val="clear" w:color="auto" w:fill="F2F2F2" w:themeFill="background1" w:themeFillShade="F2"/>
            <w:noWrap/>
            <w:tcMar>
              <w:top w:w="0" w:type="dxa"/>
              <w:left w:w="108" w:type="dxa"/>
              <w:bottom w:w="0" w:type="dxa"/>
              <w:right w:w="108" w:type="dxa"/>
            </w:tcMar>
            <w:vAlign w:val="center"/>
          </w:tcPr>
          <w:p w14:paraId="2CC6C104" w14:textId="7777777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71040</w:t>
            </w:r>
          </w:p>
        </w:tc>
        <w:tc>
          <w:tcPr>
            <w:tcW w:w="3080" w:type="dxa"/>
            <w:shd w:val="clear" w:color="auto" w:fill="F2F2F2" w:themeFill="background1" w:themeFillShade="F2"/>
            <w:noWrap/>
            <w:tcMar>
              <w:top w:w="0" w:type="dxa"/>
              <w:left w:w="108" w:type="dxa"/>
              <w:bottom w:w="0" w:type="dxa"/>
              <w:right w:w="108" w:type="dxa"/>
            </w:tcMar>
            <w:vAlign w:val="center"/>
          </w:tcPr>
          <w:p w14:paraId="5FE79277" w14:textId="7777777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71220</w:t>
            </w:r>
          </w:p>
        </w:tc>
      </w:tr>
      <w:tr w:rsidR="00F13022" w:rsidRPr="00511C85" w14:paraId="5AFDD40C" w14:textId="77777777" w:rsidTr="000605D7">
        <w:trPr>
          <w:trHeight w:val="20"/>
          <w:jc w:val="center"/>
        </w:trPr>
        <w:tc>
          <w:tcPr>
            <w:tcW w:w="1990" w:type="dxa"/>
            <w:vMerge/>
            <w:shd w:val="clear" w:color="auto" w:fill="F2F2F2" w:themeFill="background1" w:themeFillShade="F2"/>
            <w:vAlign w:val="center"/>
          </w:tcPr>
          <w:p w14:paraId="6770D45E" w14:textId="71B60D6B" w:rsidR="00F13022" w:rsidRPr="00511C85" w:rsidRDefault="00F13022" w:rsidP="002779E9">
            <w:pPr>
              <w:rPr>
                <w:rFonts w:ascii="Times New Roman" w:eastAsia="Times New Roman" w:hAnsi="Times New Roman" w:cs="Times New Roman"/>
              </w:rPr>
            </w:pPr>
          </w:p>
        </w:tc>
        <w:tc>
          <w:tcPr>
            <w:tcW w:w="1999" w:type="dxa"/>
            <w:shd w:val="clear" w:color="auto" w:fill="F2F2F2" w:themeFill="background1" w:themeFillShade="F2"/>
            <w:noWrap/>
            <w:tcMar>
              <w:top w:w="0" w:type="dxa"/>
              <w:left w:w="108" w:type="dxa"/>
              <w:bottom w:w="0" w:type="dxa"/>
              <w:right w:w="108" w:type="dxa"/>
            </w:tcMar>
            <w:vAlign w:val="center"/>
          </w:tcPr>
          <w:p w14:paraId="6FE3BAF1" w14:textId="6E705B70"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20010909</w:t>
            </w:r>
          </w:p>
        </w:tc>
        <w:tc>
          <w:tcPr>
            <w:tcW w:w="2291" w:type="dxa"/>
            <w:shd w:val="clear" w:color="auto" w:fill="F2F2F2" w:themeFill="background1" w:themeFillShade="F2"/>
            <w:noWrap/>
            <w:tcMar>
              <w:top w:w="0" w:type="dxa"/>
              <w:left w:w="108" w:type="dxa"/>
              <w:bottom w:w="0" w:type="dxa"/>
              <w:right w:w="108" w:type="dxa"/>
            </w:tcMar>
            <w:vAlign w:val="center"/>
          </w:tcPr>
          <w:p w14:paraId="0E87AEA2" w14:textId="7777777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71580</w:t>
            </w:r>
          </w:p>
        </w:tc>
        <w:tc>
          <w:tcPr>
            <w:tcW w:w="3080" w:type="dxa"/>
            <w:shd w:val="clear" w:color="auto" w:fill="F2F2F2" w:themeFill="background1" w:themeFillShade="F2"/>
            <w:noWrap/>
            <w:tcMar>
              <w:top w:w="0" w:type="dxa"/>
              <w:left w:w="108" w:type="dxa"/>
              <w:bottom w:w="0" w:type="dxa"/>
              <w:right w:w="108" w:type="dxa"/>
            </w:tcMar>
            <w:vAlign w:val="center"/>
          </w:tcPr>
          <w:p w14:paraId="064332BB" w14:textId="7777777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71400</w:t>
            </w:r>
          </w:p>
        </w:tc>
      </w:tr>
      <w:tr w:rsidR="00F13022" w:rsidRPr="00511C85" w14:paraId="79CA2FB3" w14:textId="77777777" w:rsidTr="002779E9">
        <w:trPr>
          <w:trHeight w:val="20"/>
          <w:jc w:val="center"/>
        </w:trPr>
        <w:tc>
          <w:tcPr>
            <w:tcW w:w="1990" w:type="dxa"/>
            <w:vMerge w:val="restart"/>
            <w:shd w:val="clear" w:color="auto" w:fill="FFFFFF"/>
            <w:vAlign w:val="center"/>
          </w:tcPr>
          <w:p w14:paraId="25ACEE93" w14:textId="35BCD9FD" w:rsidR="00F13022" w:rsidRPr="00511C85" w:rsidRDefault="00951F2B" w:rsidP="002779E9">
            <w:pPr>
              <w:rPr>
                <w:rFonts w:ascii="Times New Roman" w:eastAsia="Times New Roman" w:hAnsi="Times New Roman" w:cs="Times New Roman"/>
              </w:rPr>
            </w:pPr>
            <w:r>
              <w:rPr>
                <w:rFonts w:ascii="Times New Roman" w:eastAsia="Times New Roman" w:hAnsi="Times New Roman" w:cs="Times New Roman"/>
              </w:rPr>
              <w:t>CRYSTAL-FACE</w:t>
            </w:r>
          </w:p>
        </w:tc>
        <w:tc>
          <w:tcPr>
            <w:tcW w:w="1999" w:type="dxa"/>
            <w:shd w:val="clear" w:color="auto" w:fill="FFFFFF"/>
            <w:noWrap/>
            <w:tcMar>
              <w:top w:w="0" w:type="dxa"/>
              <w:left w:w="108" w:type="dxa"/>
              <w:bottom w:w="0" w:type="dxa"/>
              <w:right w:w="108" w:type="dxa"/>
            </w:tcMar>
            <w:vAlign w:val="center"/>
          </w:tcPr>
          <w:p w14:paraId="043F3FF0" w14:textId="21088B4C"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291" w:type="dxa"/>
            <w:shd w:val="clear" w:color="auto" w:fill="FFFFFF"/>
            <w:noWrap/>
            <w:tcMar>
              <w:top w:w="0" w:type="dxa"/>
              <w:left w:w="108" w:type="dxa"/>
              <w:bottom w:w="0" w:type="dxa"/>
              <w:right w:w="108" w:type="dxa"/>
            </w:tcMar>
            <w:vAlign w:val="center"/>
          </w:tcPr>
          <w:p w14:paraId="09849C81" w14:textId="5FD4A093"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78540</w:t>
            </w:r>
          </w:p>
        </w:tc>
        <w:tc>
          <w:tcPr>
            <w:tcW w:w="3080" w:type="dxa"/>
            <w:shd w:val="clear" w:color="auto" w:fill="FFFFFF"/>
            <w:noWrap/>
            <w:tcMar>
              <w:top w:w="0" w:type="dxa"/>
              <w:left w:w="108" w:type="dxa"/>
              <w:bottom w:w="0" w:type="dxa"/>
              <w:right w:w="108" w:type="dxa"/>
            </w:tcMar>
            <w:vAlign w:val="center"/>
          </w:tcPr>
          <w:p w14:paraId="3F74AAD3" w14:textId="7B21098E"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78720</w:t>
            </w:r>
          </w:p>
        </w:tc>
      </w:tr>
      <w:tr w:rsidR="00F13022" w:rsidRPr="00511C85" w14:paraId="2D3FA19C" w14:textId="77777777" w:rsidTr="002779E9">
        <w:trPr>
          <w:trHeight w:val="20"/>
          <w:jc w:val="center"/>
        </w:trPr>
        <w:tc>
          <w:tcPr>
            <w:tcW w:w="1990" w:type="dxa"/>
            <w:vMerge/>
            <w:shd w:val="clear" w:color="auto" w:fill="FFFFFF"/>
            <w:vAlign w:val="center"/>
          </w:tcPr>
          <w:p w14:paraId="4A391A19" w14:textId="77777777" w:rsidR="00F13022" w:rsidRPr="00511C85" w:rsidRDefault="00F13022" w:rsidP="002779E9">
            <w:pPr>
              <w:rPr>
                <w:rFonts w:ascii="Times New Roman" w:eastAsia="Times New Roman" w:hAnsi="Times New Roman" w:cs="Times New Roman"/>
              </w:rPr>
            </w:pPr>
          </w:p>
        </w:tc>
        <w:tc>
          <w:tcPr>
            <w:tcW w:w="1999" w:type="dxa"/>
            <w:shd w:val="clear" w:color="auto" w:fill="FFFFFF"/>
            <w:noWrap/>
            <w:tcMar>
              <w:top w:w="0" w:type="dxa"/>
              <w:left w:w="108" w:type="dxa"/>
              <w:bottom w:w="0" w:type="dxa"/>
              <w:right w:w="108" w:type="dxa"/>
            </w:tcMar>
            <w:vAlign w:val="center"/>
          </w:tcPr>
          <w:p w14:paraId="5531EFB2" w14:textId="3D788AD7"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291" w:type="dxa"/>
            <w:shd w:val="clear" w:color="auto" w:fill="FFFFFF"/>
            <w:noWrap/>
            <w:tcMar>
              <w:top w:w="0" w:type="dxa"/>
              <w:left w:w="108" w:type="dxa"/>
              <w:bottom w:w="0" w:type="dxa"/>
              <w:right w:w="108" w:type="dxa"/>
            </w:tcMar>
            <w:vAlign w:val="center"/>
          </w:tcPr>
          <w:p w14:paraId="77C5729A" w14:textId="5473367E"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81060</w:t>
            </w:r>
          </w:p>
        </w:tc>
        <w:tc>
          <w:tcPr>
            <w:tcW w:w="3080" w:type="dxa"/>
            <w:shd w:val="clear" w:color="auto" w:fill="FFFFFF"/>
            <w:noWrap/>
            <w:tcMar>
              <w:top w:w="0" w:type="dxa"/>
              <w:left w:w="108" w:type="dxa"/>
              <w:bottom w:w="0" w:type="dxa"/>
              <w:right w:w="108" w:type="dxa"/>
            </w:tcMar>
            <w:vAlign w:val="center"/>
          </w:tcPr>
          <w:p w14:paraId="6CCA7035" w14:textId="62FE5830"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81240</w:t>
            </w:r>
          </w:p>
        </w:tc>
      </w:tr>
      <w:tr w:rsidR="00F13022" w:rsidRPr="00511C85" w14:paraId="05CC9774" w14:textId="77777777" w:rsidTr="002779E9">
        <w:trPr>
          <w:trHeight w:val="20"/>
          <w:jc w:val="center"/>
        </w:trPr>
        <w:tc>
          <w:tcPr>
            <w:tcW w:w="1990" w:type="dxa"/>
            <w:vMerge/>
            <w:shd w:val="clear" w:color="auto" w:fill="FFFFFF"/>
            <w:vAlign w:val="center"/>
          </w:tcPr>
          <w:p w14:paraId="12C43777" w14:textId="77777777" w:rsidR="00F13022" w:rsidRPr="00511C85" w:rsidRDefault="00F13022" w:rsidP="002779E9">
            <w:pPr>
              <w:rPr>
                <w:rFonts w:ascii="Times New Roman" w:eastAsia="Times New Roman" w:hAnsi="Times New Roman" w:cs="Times New Roman"/>
              </w:rPr>
            </w:pPr>
          </w:p>
        </w:tc>
        <w:tc>
          <w:tcPr>
            <w:tcW w:w="1999" w:type="dxa"/>
            <w:shd w:val="clear" w:color="auto" w:fill="FFFFFF"/>
            <w:noWrap/>
            <w:tcMar>
              <w:top w:w="0" w:type="dxa"/>
              <w:left w:w="108" w:type="dxa"/>
              <w:bottom w:w="0" w:type="dxa"/>
              <w:right w:w="108" w:type="dxa"/>
            </w:tcMar>
            <w:vAlign w:val="center"/>
          </w:tcPr>
          <w:p w14:paraId="72D86663" w14:textId="528A102A"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291" w:type="dxa"/>
            <w:shd w:val="clear" w:color="auto" w:fill="FFFFFF"/>
            <w:noWrap/>
            <w:tcMar>
              <w:top w:w="0" w:type="dxa"/>
              <w:left w:w="108" w:type="dxa"/>
              <w:bottom w:w="0" w:type="dxa"/>
              <w:right w:w="108" w:type="dxa"/>
            </w:tcMar>
            <w:vAlign w:val="center"/>
          </w:tcPr>
          <w:p w14:paraId="72DCD52E" w14:textId="159AF639"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81660</w:t>
            </w:r>
          </w:p>
        </w:tc>
        <w:tc>
          <w:tcPr>
            <w:tcW w:w="3080" w:type="dxa"/>
            <w:shd w:val="clear" w:color="auto" w:fill="FFFFFF"/>
            <w:noWrap/>
            <w:tcMar>
              <w:top w:w="0" w:type="dxa"/>
              <w:left w:w="108" w:type="dxa"/>
              <w:bottom w:w="0" w:type="dxa"/>
              <w:right w:w="108" w:type="dxa"/>
            </w:tcMar>
            <w:vAlign w:val="center"/>
          </w:tcPr>
          <w:p w14:paraId="1CEB313C" w14:textId="74E4AFD0"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81540</w:t>
            </w:r>
          </w:p>
        </w:tc>
      </w:tr>
      <w:tr w:rsidR="00F13022" w:rsidRPr="00511C85" w14:paraId="08341461" w14:textId="77777777" w:rsidTr="002779E9">
        <w:trPr>
          <w:trHeight w:val="20"/>
          <w:jc w:val="center"/>
        </w:trPr>
        <w:tc>
          <w:tcPr>
            <w:tcW w:w="1990" w:type="dxa"/>
            <w:vMerge/>
            <w:shd w:val="clear" w:color="auto" w:fill="FFFFFF"/>
            <w:vAlign w:val="center"/>
          </w:tcPr>
          <w:p w14:paraId="4F1819D7" w14:textId="77777777" w:rsidR="00F13022" w:rsidRPr="00511C85" w:rsidRDefault="00F13022" w:rsidP="002779E9">
            <w:pPr>
              <w:rPr>
                <w:rFonts w:ascii="Times New Roman" w:eastAsia="Times New Roman" w:hAnsi="Times New Roman" w:cs="Times New Roman"/>
              </w:rPr>
            </w:pPr>
          </w:p>
        </w:tc>
        <w:tc>
          <w:tcPr>
            <w:tcW w:w="1999" w:type="dxa"/>
            <w:shd w:val="clear" w:color="auto" w:fill="FFFFFF"/>
            <w:noWrap/>
            <w:tcMar>
              <w:top w:w="0" w:type="dxa"/>
              <w:left w:w="108" w:type="dxa"/>
              <w:bottom w:w="0" w:type="dxa"/>
              <w:right w:w="108" w:type="dxa"/>
            </w:tcMar>
            <w:vAlign w:val="center"/>
          </w:tcPr>
          <w:p w14:paraId="2D425B19" w14:textId="0439A6DE"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291" w:type="dxa"/>
            <w:shd w:val="clear" w:color="auto" w:fill="FFFFFF"/>
            <w:noWrap/>
            <w:tcMar>
              <w:top w:w="0" w:type="dxa"/>
              <w:left w:w="108" w:type="dxa"/>
              <w:bottom w:w="0" w:type="dxa"/>
              <w:right w:w="108" w:type="dxa"/>
            </w:tcMar>
            <w:vAlign w:val="center"/>
          </w:tcPr>
          <w:p w14:paraId="65ADA718" w14:textId="32C34022"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83760</w:t>
            </w:r>
          </w:p>
        </w:tc>
        <w:tc>
          <w:tcPr>
            <w:tcW w:w="3080" w:type="dxa"/>
            <w:shd w:val="clear" w:color="auto" w:fill="FFFFFF"/>
            <w:noWrap/>
            <w:tcMar>
              <w:top w:w="0" w:type="dxa"/>
              <w:left w:w="108" w:type="dxa"/>
              <w:bottom w:w="0" w:type="dxa"/>
              <w:right w:w="108" w:type="dxa"/>
            </w:tcMar>
            <w:vAlign w:val="center"/>
          </w:tcPr>
          <w:p w14:paraId="51F03BD4" w14:textId="078015A6" w:rsidR="00F13022" w:rsidRPr="00511C85" w:rsidRDefault="00F13022" w:rsidP="0017295F">
            <w:pPr>
              <w:jc w:val="center"/>
              <w:rPr>
                <w:rFonts w:ascii="Times New Roman" w:eastAsia="Times New Roman" w:hAnsi="Times New Roman" w:cs="Times New Roman"/>
              </w:rPr>
            </w:pPr>
            <w:r w:rsidRPr="00511C85">
              <w:rPr>
                <w:rFonts w:ascii="Times New Roman" w:eastAsia="Times New Roman" w:hAnsi="Times New Roman" w:cs="Times New Roman"/>
              </w:rPr>
              <w:t>83880</w:t>
            </w:r>
          </w:p>
        </w:tc>
      </w:tr>
      <w:tr w:rsidR="00951F2B" w:rsidRPr="00511C85" w14:paraId="505459C3" w14:textId="77777777" w:rsidTr="000605D7">
        <w:trPr>
          <w:trHeight w:val="20"/>
          <w:jc w:val="center"/>
        </w:trPr>
        <w:tc>
          <w:tcPr>
            <w:tcW w:w="1990" w:type="dxa"/>
            <w:vMerge w:val="restart"/>
            <w:shd w:val="clear" w:color="auto" w:fill="F2F2F2" w:themeFill="background1" w:themeFillShade="F2"/>
            <w:vAlign w:val="center"/>
          </w:tcPr>
          <w:p w14:paraId="168D15A6" w14:textId="5F6C5F50" w:rsidR="00951F2B" w:rsidRPr="00511C85" w:rsidRDefault="00951F2B" w:rsidP="002779E9">
            <w:pPr>
              <w:rPr>
                <w:rFonts w:ascii="Times New Roman" w:eastAsia="Times New Roman" w:hAnsi="Times New Roman" w:cs="Times New Roman"/>
              </w:rPr>
            </w:pPr>
            <w:r>
              <w:rPr>
                <w:rFonts w:ascii="Times New Roman" w:eastAsia="Times New Roman" w:hAnsi="Times New Roman" w:cs="Times New Roman"/>
              </w:rPr>
              <w:t>NAMMA</w:t>
            </w:r>
          </w:p>
        </w:tc>
        <w:tc>
          <w:tcPr>
            <w:tcW w:w="1999" w:type="dxa"/>
            <w:shd w:val="clear" w:color="auto" w:fill="F2F2F2" w:themeFill="background1" w:themeFillShade="F2"/>
            <w:noWrap/>
            <w:tcMar>
              <w:top w:w="0" w:type="dxa"/>
              <w:left w:w="108" w:type="dxa"/>
              <w:bottom w:w="0" w:type="dxa"/>
              <w:right w:w="108" w:type="dxa"/>
            </w:tcMar>
            <w:vAlign w:val="center"/>
          </w:tcPr>
          <w:p w14:paraId="4C41194F" w14:textId="57CB24BF"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20060903</w:t>
            </w:r>
          </w:p>
        </w:tc>
        <w:tc>
          <w:tcPr>
            <w:tcW w:w="2291" w:type="dxa"/>
            <w:shd w:val="clear" w:color="auto" w:fill="F2F2F2" w:themeFill="background1" w:themeFillShade="F2"/>
            <w:noWrap/>
            <w:tcMar>
              <w:top w:w="0" w:type="dxa"/>
              <w:left w:w="108" w:type="dxa"/>
              <w:bottom w:w="0" w:type="dxa"/>
              <w:right w:w="108" w:type="dxa"/>
            </w:tcMar>
            <w:vAlign w:val="center"/>
          </w:tcPr>
          <w:p w14:paraId="7874DA84" w14:textId="274D8A01"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48900</w:t>
            </w:r>
          </w:p>
        </w:tc>
        <w:tc>
          <w:tcPr>
            <w:tcW w:w="3080" w:type="dxa"/>
            <w:shd w:val="clear" w:color="auto" w:fill="F2F2F2" w:themeFill="background1" w:themeFillShade="F2"/>
            <w:noWrap/>
            <w:tcMar>
              <w:top w:w="0" w:type="dxa"/>
              <w:left w:w="108" w:type="dxa"/>
              <w:bottom w:w="0" w:type="dxa"/>
              <w:right w:w="108" w:type="dxa"/>
            </w:tcMar>
            <w:vAlign w:val="center"/>
          </w:tcPr>
          <w:p w14:paraId="35EFEC98" w14:textId="64B4214D"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48720</w:t>
            </w:r>
          </w:p>
        </w:tc>
      </w:tr>
      <w:tr w:rsidR="00951F2B" w:rsidRPr="00511C85" w14:paraId="4D6BA002" w14:textId="77777777" w:rsidTr="000605D7">
        <w:trPr>
          <w:trHeight w:val="20"/>
          <w:jc w:val="center"/>
        </w:trPr>
        <w:tc>
          <w:tcPr>
            <w:tcW w:w="1990" w:type="dxa"/>
            <w:vMerge/>
            <w:shd w:val="clear" w:color="auto" w:fill="F2F2F2" w:themeFill="background1" w:themeFillShade="F2"/>
            <w:vAlign w:val="center"/>
          </w:tcPr>
          <w:p w14:paraId="3476BB6A" w14:textId="77777777" w:rsidR="00951F2B" w:rsidRPr="00511C85" w:rsidRDefault="00951F2B" w:rsidP="002779E9">
            <w:pPr>
              <w:rPr>
                <w:rFonts w:ascii="Times New Roman" w:eastAsia="Times New Roman" w:hAnsi="Times New Roman" w:cs="Times New Roman"/>
              </w:rPr>
            </w:pPr>
          </w:p>
        </w:tc>
        <w:tc>
          <w:tcPr>
            <w:tcW w:w="1999" w:type="dxa"/>
            <w:shd w:val="clear" w:color="auto" w:fill="F2F2F2" w:themeFill="background1" w:themeFillShade="F2"/>
            <w:noWrap/>
            <w:tcMar>
              <w:top w:w="0" w:type="dxa"/>
              <w:left w:w="108" w:type="dxa"/>
              <w:bottom w:w="0" w:type="dxa"/>
              <w:right w:w="108" w:type="dxa"/>
            </w:tcMar>
            <w:vAlign w:val="center"/>
          </w:tcPr>
          <w:p w14:paraId="75DC7D76" w14:textId="6D6E781D"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20060903</w:t>
            </w:r>
          </w:p>
        </w:tc>
        <w:tc>
          <w:tcPr>
            <w:tcW w:w="2291" w:type="dxa"/>
            <w:shd w:val="clear" w:color="auto" w:fill="F2F2F2" w:themeFill="background1" w:themeFillShade="F2"/>
            <w:noWrap/>
            <w:tcMar>
              <w:top w:w="0" w:type="dxa"/>
              <w:left w:w="108" w:type="dxa"/>
              <w:bottom w:w="0" w:type="dxa"/>
              <w:right w:w="108" w:type="dxa"/>
            </w:tcMar>
            <w:vAlign w:val="center"/>
          </w:tcPr>
          <w:p w14:paraId="26C5FBF9" w14:textId="4202D504"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48240</w:t>
            </w:r>
          </w:p>
        </w:tc>
        <w:tc>
          <w:tcPr>
            <w:tcW w:w="3080" w:type="dxa"/>
            <w:shd w:val="clear" w:color="auto" w:fill="F2F2F2" w:themeFill="background1" w:themeFillShade="F2"/>
            <w:noWrap/>
            <w:tcMar>
              <w:top w:w="0" w:type="dxa"/>
              <w:left w:w="108" w:type="dxa"/>
              <w:bottom w:w="0" w:type="dxa"/>
              <w:right w:w="108" w:type="dxa"/>
            </w:tcMar>
            <w:vAlign w:val="center"/>
          </w:tcPr>
          <w:p w14:paraId="14604CB6" w14:textId="01B2C443"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48540</w:t>
            </w:r>
          </w:p>
        </w:tc>
      </w:tr>
      <w:tr w:rsidR="00951F2B" w:rsidRPr="00511C85" w14:paraId="20A77239" w14:textId="77777777" w:rsidTr="000605D7">
        <w:trPr>
          <w:trHeight w:val="20"/>
          <w:jc w:val="center"/>
        </w:trPr>
        <w:tc>
          <w:tcPr>
            <w:tcW w:w="1990" w:type="dxa"/>
            <w:vMerge/>
            <w:shd w:val="clear" w:color="auto" w:fill="F2F2F2" w:themeFill="background1" w:themeFillShade="F2"/>
            <w:vAlign w:val="center"/>
          </w:tcPr>
          <w:p w14:paraId="0D7591D1" w14:textId="77777777" w:rsidR="00951F2B" w:rsidRPr="00511C85" w:rsidRDefault="00951F2B" w:rsidP="002779E9">
            <w:pPr>
              <w:rPr>
                <w:rFonts w:ascii="Times New Roman" w:eastAsia="Times New Roman" w:hAnsi="Times New Roman" w:cs="Times New Roman"/>
              </w:rPr>
            </w:pPr>
          </w:p>
        </w:tc>
        <w:tc>
          <w:tcPr>
            <w:tcW w:w="1999" w:type="dxa"/>
            <w:shd w:val="clear" w:color="auto" w:fill="F2F2F2" w:themeFill="background1" w:themeFillShade="F2"/>
            <w:noWrap/>
            <w:tcMar>
              <w:top w:w="0" w:type="dxa"/>
              <w:left w:w="108" w:type="dxa"/>
              <w:bottom w:w="0" w:type="dxa"/>
              <w:right w:w="108" w:type="dxa"/>
            </w:tcMar>
            <w:vAlign w:val="center"/>
          </w:tcPr>
          <w:p w14:paraId="0161B806" w14:textId="421FEE98"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20060912</w:t>
            </w:r>
          </w:p>
        </w:tc>
        <w:tc>
          <w:tcPr>
            <w:tcW w:w="2291" w:type="dxa"/>
            <w:shd w:val="clear" w:color="auto" w:fill="F2F2F2" w:themeFill="background1" w:themeFillShade="F2"/>
            <w:noWrap/>
            <w:tcMar>
              <w:top w:w="0" w:type="dxa"/>
              <w:left w:w="108" w:type="dxa"/>
              <w:bottom w:w="0" w:type="dxa"/>
              <w:right w:w="108" w:type="dxa"/>
            </w:tcMar>
            <w:vAlign w:val="center"/>
          </w:tcPr>
          <w:p w14:paraId="1CDD73C2" w14:textId="5E111629"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54660</w:t>
            </w:r>
          </w:p>
        </w:tc>
        <w:tc>
          <w:tcPr>
            <w:tcW w:w="3080" w:type="dxa"/>
            <w:shd w:val="clear" w:color="auto" w:fill="F2F2F2" w:themeFill="background1" w:themeFillShade="F2"/>
            <w:noWrap/>
            <w:tcMar>
              <w:top w:w="0" w:type="dxa"/>
              <w:left w:w="108" w:type="dxa"/>
              <w:bottom w:w="0" w:type="dxa"/>
              <w:right w:w="108" w:type="dxa"/>
            </w:tcMar>
            <w:vAlign w:val="center"/>
          </w:tcPr>
          <w:p w14:paraId="76AE8815" w14:textId="508C04AD"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54900</w:t>
            </w:r>
          </w:p>
        </w:tc>
      </w:tr>
      <w:tr w:rsidR="00951F2B" w:rsidRPr="00511C85" w14:paraId="73298318" w14:textId="77777777" w:rsidTr="002779E9">
        <w:trPr>
          <w:trHeight w:val="20"/>
          <w:jc w:val="center"/>
        </w:trPr>
        <w:tc>
          <w:tcPr>
            <w:tcW w:w="1990" w:type="dxa"/>
            <w:vMerge w:val="restart"/>
            <w:shd w:val="clear" w:color="auto" w:fill="FFFFFF"/>
            <w:vAlign w:val="center"/>
          </w:tcPr>
          <w:p w14:paraId="7908CF7F" w14:textId="0A7FA4A3" w:rsidR="00951F2B" w:rsidRPr="00511C85" w:rsidRDefault="00951F2B" w:rsidP="002779E9">
            <w:pPr>
              <w:rPr>
                <w:rFonts w:ascii="Times New Roman" w:eastAsia="Times New Roman" w:hAnsi="Times New Roman" w:cs="Times New Roman"/>
              </w:rPr>
            </w:pPr>
            <w:r>
              <w:rPr>
                <w:rFonts w:ascii="Times New Roman" w:eastAsia="Times New Roman" w:hAnsi="Times New Roman" w:cs="Times New Roman"/>
              </w:rPr>
              <w:t>TC4</w:t>
            </w:r>
          </w:p>
        </w:tc>
        <w:tc>
          <w:tcPr>
            <w:tcW w:w="1999" w:type="dxa"/>
            <w:shd w:val="clear" w:color="auto" w:fill="FFFFFF"/>
            <w:noWrap/>
            <w:tcMar>
              <w:top w:w="0" w:type="dxa"/>
              <w:left w:w="108" w:type="dxa"/>
              <w:bottom w:w="0" w:type="dxa"/>
              <w:right w:w="108" w:type="dxa"/>
            </w:tcMar>
            <w:vAlign w:val="center"/>
          </w:tcPr>
          <w:p w14:paraId="6BAD0D35" w14:textId="269C3C43"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20070717</w:t>
            </w:r>
          </w:p>
        </w:tc>
        <w:tc>
          <w:tcPr>
            <w:tcW w:w="2291" w:type="dxa"/>
            <w:shd w:val="clear" w:color="auto" w:fill="FFFFFF"/>
            <w:noWrap/>
            <w:tcMar>
              <w:top w:w="0" w:type="dxa"/>
              <w:left w:w="108" w:type="dxa"/>
              <w:bottom w:w="0" w:type="dxa"/>
              <w:right w:w="108" w:type="dxa"/>
            </w:tcMar>
            <w:vAlign w:val="center"/>
          </w:tcPr>
          <w:p w14:paraId="68E094E0" w14:textId="52C0A0E5"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72420</w:t>
            </w:r>
          </w:p>
        </w:tc>
        <w:tc>
          <w:tcPr>
            <w:tcW w:w="3080" w:type="dxa"/>
            <w:shd w:val="clear" w:color="auto" w:fill="FFFFFF"/>
            <w:noWrap/>
            <w:tcMar>
              <w:top w:w="0" w:type="dxa"/>
              <w:left w:w="108" w:type="dxa"/>
              <w:bottom w:w="0" w:type="dxa"/>
              <w:right w:w="108" w:type="dxa"/>
            </w:tcMar>
            <w:vAlign w:val="center"/>
          </w:tcPr>
          <w:p w14:paraId="0ABC4180" w14:textId="42E940C4"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72600</w:t>
            </w:r>
          </w:p>
        </w:tc>
      </w:tr>
      <w:tr w:rsidR="00951F2B" w:rsidRPr="00511C85" w14:paraId="4D36CA82" w14:textId="77777777" w:rsidTr="002779E9">
        <w:trPr>
          <w:trHeight w:val="20"/>
          <w:jc w:val="center"/>
        </w:trPr>
        <w:tc>
          <w:tcPr>
            <w:tcW w:w="1990" w:type="dxa"/>
            <w:vMerge/>
            <w:shd w:val="clear" w:color="auto" w:fill="FFFFFF"/>
            <w:vAlign w:val="center"/>
          </w:tcPr>
          <w:p w14:paraId="4F82A294" w14:textId="77777777" w:rsidR="00951F2B" w:rsidRPr="00511C85" w:rsidRDefault="00951F2B" w:rsidP="002779E9">
            <w:pPr>
              <w:rPr>
                <w:rFonts w:ascii="Times New Roman" w:eastAsia="Times New Roman" w:hAnsi="Times New Roman" w:cs="Times New Roman"/>
              </w:rPr>
            </w:pPr>
          </w:p>
        </w:tc>
        <w:tc>
          <w:tcPr>
            <w:tcW w:w="1999" w:type="dxa"/>
            <w:shd w:val="clear" w:color="auto" w:fill="FFFFFF"/>
            <w:noWrap/>
            <w:tcMar>
              <w:top w:w="0" w:type="dxa"/>
              <w:left w:w="108" w:type="dxa"/>
              <w:bottom w:w="0" w:type="dxa"/>
              <w:right w:w="108" w:type="dxa"/>
            </w:tcMar>
            <w:vAlign w:val="center"/>
          </w:tcPr>
          <w:p w14:paraId="33CE913A" w14:textId="0966754D"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20070808</w:t>
            </w:r>
          </w:p>
        </w:tc>
        <w:tc>
          <w:tcPr>
            <w:tcW w:w="2291" w:type="dxa"/>
            <w:shd w:val="clear" w:color="auto" w:fill="FFFFFF"/>
            <w:noWrap/>
            <w:tcMar>
              <w:top w:w="0" w:type="dxa"/>
              <w:left w:w="108" w:type="dxa"/>
              <w:bottom w:w="0" w:type="dxa"/>
              <w:right w:w="108" w:type="dxa"/>
            </w:tcMar>
            <w:vAlign w:val="center"/>
          </w:tcPr>
          <w:p w14:paraId="16A62182" w14:textId="3AAEB323" w:rsidR="00951F2B" w:rsidRPr="00511C85" w:rsidRDefault="00951F2B" w:rsidP="0017295F">
            <w:pPr>
              <w:jc w:val="center"/>
              <w:rPr>
                <w:rFonts w:ascii="Times New Roman" w:eastAsia="Times New Roman" w:hAnsi="Times New Roman" w:cs="Times New Roman"/>
              </w:rPr>
            </w:pPr>
            <w:r w:rsidRPr="00511C85">
              <w:rPr>
                <w:rFonts w:ascii="Times New Roman" w:eastAsia="Times New Roman" w:hAnsi="Times New Roman" w:cs="Times New Roman"/>
              </w:rPr>
              <w:t>69180</w:t>
            </w:r>
          </w:p>
        </w:tc>
        <w:tc>
          <w:tcPr>
            <w:tcW w:w="3080" w:type="dxa"/>
            <w:shd w:val="clear" w:color="auto" w:fill="FFFFFF"/>
            <w:noWrap/>
            <w:tcMar>
              <w:top w:w="0" w:type="dxa"/>
              <w:left w:w="108" w:type="dxa"/>
              <w:bottom w:w="0" w:type="dxa"/>
              <w:right w:w="108" w:type="dxa"/>
            </w:tcMar>
            <w:vAlign w:val="center"/>
          </w:tcPr>
          <w:p w14:paraId="7E603DFB" w14:textId="5B1B06FA" w:rsidR="00951F2B" w:rsidRPr="00511C85" w:rsidRDefault="00951F2B" w:rsidP="00987A6F">
            <w:pPr>
              <w:keepNext/>
              <w:jc w:val="center"/>
              <w:rPr>
                <w:rFonts w:ascii="Times New Roman" w:eastAsia="Times New Roman" w:hAnsi="Times New Roman" w:cs="Times New Roman"/>
              </w:rPr>
            </w:pPr>
            <w:r w:rsidRPr="00511C85">
              <w:rPr>
                <w:rFonts w:ascii="Times New Roman" w:eastAsia="Times New Roman" w:hAnsi="Times New Roman" w:cs="Times New Roman"/>
              </w:rPr>
              <w:t>69060</w:t>
            </w:r>
          </w:p>
        </w:tc>
      </w:tr>
      <w:tr w:rsidR="002779E9" w:rsidRPr="00511C85" w14:paraId="68D391F5" w14:textId="77777777" w:rsidTr="000605D7">
        <w:trPr>
          <w:trHeight w:val="20"/>
          <w:jc w:val="center"/>
        </w:trPr>
        <w:tc>
          <w:tcPr>
            <w:tcW w:w="1990" w:type="dxa"/>
            <w:vMerge w:val="restart"/>
            <w:shd w:val="clear" w:color="auto" w:fill="F2F2F2" w:themeFill="background1" w:themeFillShade="F2"/>
            <w:vAlign w:val="center"/>
          </w:tcPr>
          <w:p w14:paraId="6F8D140A" w14:textId="50F66ED0" w:rsidR="002779E9" w:rsidRPr="002779E9" w:rsidRDefault="002779E9" w:rsidP="002779E9">
            <w:pPr>
              <w:rPr>
                <w:rFonts w:ascii="Times New Roman" w:eastAsia="Times New Roman" w:hAnsi="Times New Roman" w:cs="Times New Roman"/>
              </w:rPr>
            </w:pPr>
            <w:r>
              <w:rPr>
                <w:rFonts w:ascii="Times New Roman" w:eastAsia="Times New Roman" w:hAnsi="Times New Roman" w:cs="Times New Roman"/>
              </w:rPr>
              <w:t>LPVEX</w:t>
            </w:r>
          </w:p>
        </w:tc>
        <w:tc>
          <w:tcPr>
            <w:tcW w:w="1999" w:type="dxa"/>
            <w:shd w:val="clear" w:color="auto" w:fill="F2F2F2" w:themeFill="background1" w:themeFillShade="F2"/>
            <w:noWrap/>
            <w:tcMar>
              <w:top w:w="0" w:type="dxa"/>
              <w:left w:w="108" w:type="dxa"/>
              <w:bottom w:w="0" w:type="dxa"/>
              <w:right w:w="108" w:type="dxa"/>
            </w:tcMar>
            <w:vAlign w:val="center"/>
          </w:tcPr>
          <w:p w14:paraId="1246BB72" w14:textId="5C991391" w:rsidR="002779E9" w:rsidRPr="00511C85" w:rsidRDefault="002779E9" w:rsidP="002779E9">
            <w:pPr>
              <w:jc w:val="center"/>
              <w:rPr>
                <w:rFonts w:ascii="Times New Roman" w:eastAsia="Times New Roman" w:hAnsi="Times New Roman" w:cs="Times New Roman"/>
              </w:rPr>
            </w:pPr>
            <w:r w:rsidRPr="00511C85">
              <w:rPr>
                <w:rFonts w:ascii="Times New Roman" w:eastAsia="Times New Roman" w:hAnsi="Times New Roman" w:cs="Times New Roman"/>
              </w:rPr>
              <w:t>20100916</w:t>
            </w:r>
          </w:p>
        </w:tc>
        <w:tc>
          <w:tcPr>
            <w:tcW w:w="2291" w:type="dxa"/>
            <w:shd w:val="clear" w:color="auto" w:fill="F2F2F2" w:themeFill="background1" w:themeFillShade="F2"/>
            <w:noWrap/>
            <w:tcMar>
              <w:top w:w="0" w:type="dxa"/>
              <w:left w:w="108" w:type="dxa"/>
              <w:bottom w:w="0" w:type="dxa"/>
              <w:right w:w="108" w:type="dxa"/>
            </w:tcMar>
            <w:vAlign w:val="center"/>
          </w:tcPr>
          <w:p w14:paraId="3E91C8F9" w14:textId="779093F0" w:rsidR="002779E9" w:rsidRPr="00511C85" w:rsidRDefault="002779E9" w:rsidP="002779E9">
            <w:pPr>
              <w:jc w:val="center"/>
              <w:rPr>
                <w:rFonts w:ascii="Times New Roman" w:eastAsia="Times New Roman" w:hAnsi="Times New Roman" w:cs="Times New Roman"/>
              </w:rPr>
            </w:pPr>
            <w:r w:rsidRPr="00511C85">
              <w:rPr>
                <w:rFonts w:ascii="Times New Roman" w:eastAsia="Times New Roman" w:hAnsi="Times New Roman" w:cs="Times New Roman"/>
              </w:rPr>
              <w:t>38400</w:t>
            </w:r>
          </w:p>
        </w:tc>
        <w:tc>
          <w:tcPr>
            <w:tcW w:w="3080" w:type="dxa"/>
            <w:shd w:val="clear" w:color="auto" w:fill="F2F2F2" w:themeFill="background1" w:themeFillShade="F2"/>
            <w:noWrap/>
            <w:tcMar>
              <w:top w:w="0" w:type="dxa"/>
              <w:left w:w="108" w:type="dxa"/>
              <w:bottom w:w="0" w:type="dxa"/>
              <w:right w:w="108" w:type="dxa"/>
            </w:tcMar>
            <w:vAlign w:val="center"/>
          </w:tcPr>
          <w:p w14:paraId="79D7DA03" w14:textId="00885E78" w:rsidR="002779E9" w:rsidRPr="00511C85" w:rsidRDefault="002779E9" w:rsidP="002779E9">
            <w:pPr>
              <w:keepNext/>
              <w:jc w:val="center"/>
              <w:rPr>
                <w:rFonts w:ascii="Times New Roman" w:eastAsia="Times New Roman" w:hAnsi="Times New Roman" w:cs="Times New Roman"/>
              </w:rPr>
            </w:pPr>
            <w:r w:rsidRPr="00511C85">
              <w:rPr>
                <w:rFonts w:ascii="Times New Roman" w:eastAsia="Times New Roman" w:hAnsi="Times New Roman" w:cs="Times New Roman"/>
              </w:rPr>
              <w:t>38520</w:t>
            </w:r>
          </w:p>
        </w:tc>
      </w:tr>
      <w:tr w:rsidR="002779E9" w:rsidRPr="00511C85" w14:paraId="4A3A78F2" w14:textId="77777777" w:rsidTr="000605D7">
        <w:trPr>
          <w:trHeight w:val="20"/>
          <w:jc w:val="center"/>
        </w:trPr>
        <w:tc>
          <w:tcPr>
            <w:tcW w:w="1990" w:type="dxa"/>
            <w:vMerge/>
            <w:shd w:val="clear" w:color="auto" w:fill="F2F2F2" w:themeFill="background1" w:themeFillShade="F2"/>
          </w:tcPr>
          <w:p w14:paraId="1793615D" w14:textId="37DEB670" w:rsidR="002779E9" w:rsidRPr="00511C85" w:rsidRDefault="002779E9" w:rsidP="002779E9">
            <w:pPr>
              <w:jc w:val="center"/>
              <w:rPr>
                <w:rFonts w:ascii="Times New Roman" w:eastAsia="Times New Roman" w:hAnsi="Times New Roman" w:cs="Times New Roman"/>
              </w:rPr>
            </w:pPr>
          </w:p>
        </w:tc>
        <w:tc>
          <w:tcPr>
            <w:tcW w:w="1999" w:type="dxa"/>
            <w:shd w:val="clear" w:color="auto" w:fill="F2F2F2" w:themeFill="background1" w:themeFillShade="F2"/>
            <w:noWrap/>
            <w:tcMar>
              <w:top w:w="0" w:type="dxa"/>
              <w:left w:w="108" w:type="dxa"/>
              <w:bottom w:w="0" w:type="dxa"/>
              <w:right w:w="108" w:type="dxa"/>
            </w:tcMar>
            <w:vAlign w:val="center"/>
          </w:tcPr>
          <w:p w14:paraId="0C0ADBD8" w14:textId="2FA6C120" w:rsidR="002779E9" w:rsidRPr="00511C85" w:rsidRDefault="002779E9" w:rsidP="002779E9">
            <w:pPr>
              <w:jc w:val="center"/>
              <w:rPr>
                <w:rFonts w:ascii="Times New Roman" w:eastAsia="Times New Roman" w:hAnsi="Times New Roman" w:cs="Times New Roman"/>
              </w:rPr>
            </w:pPr>
            <w:r w:rsidRPr="00511C85">
              <w:rPr>
                <w:rFonts w:ascii="Times New Roman" w:eastAsia="Times New Roman" w:hAnsi="Times New Roman" w:cs="Times New Roman"/>
              </w:rPr>
              <w:t>20101020</w:t>
            </w:r>
          </w:p>
        </w:tc>
        <w:tc>
          <w:tcPr>
            <w:tcW w:w="2291" w:type="dxa"/>
            <w:shd w:val="clear" w:color="auto" w:fill="F2F2F2" w:themeFill="background1" w:themeFillShade="F2"/>
            <w:noWrap/>
            <w:tcMar>
              <w:top w:w="0" w:type="dxa"/>
              <w:left w:w="108" w:type="dxa"/>
              <w:bottom w:w="0" w:type="dxa"/>
              <w:right w:w="108" w:type="dxa"/>
            </w:tcMar>
            <w:vAlign w:val="center"/>
          </w:tcPr>
          <w:p w14:paraId="17A0A3A5" w14:textId="13A12A38" w:rsidR="002779E9" w:rsidRPr="00511C85" w:rsidRDefault="002779E9" w:rsidP="002779E9">
            <w:pPr>
              <w:jc w:val="center"/>
              <w:rPr>
                <w:rFonts w:ascii="Times New Roman" w:eastAsia="Times New Roman" w:hAnsi="Times New Roman" w:cs="Times New Roman"/>
              </w:rPr>
            </w:pPr>
            <w:r w:rsidRPr="00511C85">
              <w:rPr>
                <w:rFonts w:ascii="Times New Roman" w:eastAsia="Times New Roman" w:hAnsi="Times New Roman" w:cs="Times New Roman"/>
              </w:rPr>
              <w:t>35040</w:t>
            </w:r>
          </w:p>
        </w:tc>
        <w:tc>
          <w:tcPr>
            <w:tcW w:w="3080" w:type="dxa"/>
            <w:shd w:val="clear" w:color="auto" w:fill="F2F2F2" w:themeFill="background1" w:themeFillShade="F2"/>
            <w:noWrap/>
            <w:tcMar>
              <w:top w:w="0" w:type="dxa"/>
              <w:left w:w="108" w:type="dxa"/>
              <w:bottom w:w="0" w:type="dxa"/>
              <w:right w:w="108" w:type="dxa"/>
            </w:tcMar>
            <w:vAlign w:val="center"/>
          </w:tcPr>
          <w:p w14:paraId="08B2B0EF" w14:textId="4D337153" w:rsidR="002779E9" w:rsidRPr="00511C85" w:rsidRDefault="002779E9" w:rsidP="002779E9">
            <w:pPr>
              <w:keepNext/>
              <w:jc w:val="center"/>
              <w:rPr>
                <w:rFonts w:ascii="Times New Roman" w:eastAsia="Times New Roman" w:hAnsi="Times New Roman" w:cs="Times New Roman"/>
              </w:rPr>
            </w:pPr>
            <w:r w:rsidRPr="00511C85">
              <w:rPr>
                <w:rFonts w:ascii="Times New Roman" w:eastAsia="Times New Roman" w:hAnsi="Times New Roman" w:cs="Times New Roman"/>
              </w:rPr>
              <w:t>35100</w:t>
            </w:r>
          </w:p>
        </w:tc>
      </w:tr>
    </w:tbl>
    <w:p w14:paraId="4A016486" w14:textId="0117351F" w:rsidR="001162F7" w:rsidRDefault="001162F7" w:rsidP="008578AB">
      <w:pPr>
        <w:pStyle w:val="Caption"/>
        <w:rPr>
          <w:rFonts w:ascii="Times New Roman" w:hAnsi="Times New Roman" w:cs="Times New Roman"/>
        </w:rPr>
      </w:pPr>
    </w:p>
    <w:p w14:paraId="725D8714" w14:textId="77777777" w:rsidR="001162F7" w:rsidRDefault="001162F7">
      <w:pPr>
        <w:suppressAutoHyphens w:val="0"/>
        <w:autoSpaceDN/>
        <w:spacing w:after="160" w:line="259" w:lineRule="auto"/>
        <w:textAlignment w:val="auto"/>
        <w:rPr>
          <w:rFonts w:ascii="Times New Roman" w:hAnsi="Times New Roman" w:cs="Times New Roman"/>
          <w:i/>
          <w:iCs/>
          <w:lang w:val="en-IN"/>
        </w:rPr>
      </w:pPr>
      <w:r>
        <w:rPr>
          <w:rFonts w:ascii="Times New Roman" w:hAnsi="Times New Roman" w:cs="Times New Roman"/>
        </w:rPr>
        <w:br w:type="page"/>
      </w:r>
    </w:p>
    <w:p w14:paraId="2FC059F3" w14:textId="2607B079" w:rsidR="001162F7" w:rsidRDefault="001162F7" w:rsidP="001162F7">
      <w:pPr>
        <w:pStyle w:val="Heading1"/>
      </w:pPr>
      <w:r>
        <w:lastRenderedPageBreak/>
        <w:t>APPENDIX C</w:t>
      </w:r>
      <w:r>
        <w:br/>
        <w:t>Liquid Water Content Measurements</w:t>
      </w:r>
    </w:p>
    <w:p w14:paraId="1009C9C8" w14:textId="5B64EF44" w:rsidR="00405434" w:rsidRDefault="00405434" w:rsidP="00054518">
      <w:pPr>
        <w:pStyle w:val="Body"/>
      </w:pPr>
      <w:r>
        <w:t xml:space="preserve">The </w:t>
      </w:r>
      <w:r w:rsidR="008A1882">
        <w:t>2D-S and HVPS3 concentration measurements are used to calculate hydrometeor mass below the melting layer, assuming spherical drops</w:t>
      </w:r>
      <w:r w:rsidR="00287F4F">
        <w:t xml:space="preserve">. The 2D-S probe images are processed with Poisson spot correction </w:t>
      </w:r>
      <w:r w:rsidR="00287F4F">
        <w:fldChar w:fldCharType="begin"/>
      </w:r>
      <w:r w:rsidR="00287F4F">
        <w:instrText xml:space="preserve"> ADDIN ZOTERO_ITEM CSL_CITATION {"citationID":"1rhqI2WB","properties":{"formattedCitation":"(Korolev 2007)","plainCitation":"(Korolev 2007)","noteIndex":0},"citationItems":[{"id":290,"uris":["http://zotero.org/groups/4663654/items/2WY8MVTU"],"itemData":{"id":290,"type":"article-journal","abstract":"Abstract Imaging optical array probes (OAPs) have become conventional instruments in studies of cloud microphysics. Previous works have shown that the error particle sizing in OAPs may reach 100%. Correcting the particle size measurements is not a trivial task, since the error depends on its size and distance from the object plane. A new technique for the size reconstruction of spherical particles from its measured image is introduced here. This technique also enables the retrieval of the particle position along the depth of field in the sample volume. The essence of the algorithm consists in the deduction of size and position from the relationships between the size of the Poisson spots and the geometrical dimensions of the image. The retrieval technique has been tested on the simulated discrete binary diffraction images of spherical particles, similar to those produced by OAPs. The images were modeled using the Fresnel diffraction approximation. It is demonstrated that the new algorithm can be applied to discrete binary images of spherical particles consisting of more than three pixels in size. An important feature of the retrieval technique is that it does not depend on the pixel resolution, and it can be applied for any type of OAPs that use a monochromatic coherent source of illumination.","container-title":"Journal of Atmospheric and Oceanic Technology","DOI":"10.1175/JTECH1980.1","ISSN":"0739-0572, 1520-0426","issue":"3","language":"EN","note":"publisher: American Meteorological Society\nsection: Journal of Atmospheric and Oceanic Technology","page":"376-389","source":"journals.ametsoc.org","title":"Reconstruction of the Sizes of Spherical Particles from Their Shadow Images. Part I: Theoretical Considerations","title-short":"Reconstruction of the Sizes of Spherical Particles from Their Shadow Images. Part I","volume":"24","author":[{"family":"Korolev","given":"Alexei"}],"issued":{"date-parts":[["2007",3,1]]}}}],"schema":"https://github.com/citation-style-language/schema/raw/master/csl-citation.json"} </w:instrText>
      </w:r>
      <w:r w:rsidR="00287F4F">
        <w:fldChar w:fldCharType="separate"/>
      </w:r>
      <w:r w:rsidR="00287F4F" w:rsidRPr="00287F4F">
        <w:rPr>
          <w:rFonts w:cs="Times New Roman"/>
        </w:rPr>
        <w:t>(Korolev 2007)</w:t>
      </w:r>
      <w:r w:rsidR="00287F4F">
        <w:fldChar w:fldCharType="end"/>
      </w:r>
      <w:r w:rsidR="003F3D2C">
        <w:t xml:space="preserve">. </w:t>
      </w:r>
      <w:r w:rsidR="00AD39D2">
        <w:t>The mass is compared to</w:t>
      </w:r>
      <w:r w:rsidR="0084622B">
        <w:t xml:space="preserve"> direct mass measurements from</w:t>
      </w:r>
      <w:r w:rsidR="00AD39D2">
        <w:t xml:space="preserve"> the </w:t>
      </w:r>
      <w:proofErr w:type="spellStart"/>
      <w:r w:rsidR="00AD39D2">
        <w:t>Nevzoro</w:t>
      </w:r>
      <w:r w:rsidR="00F4193C">
        <w:t>v</w:t>
      </w:r>
      <w:proofErr w:type="spellEnd"/>
      <w:r w:rsidR="00F4193C">
        <w:t xml:space="preserve"> </w:t>
      </w:r>
      <w:r w:rsidR="0084622B">
        <w:t xml:space="preserve">liquid and total water content </w:t>
      </w:r>
      <w:r w:rsidR="00F4193C">
        <w:t>probe</w:t>
      </w:r>
      <w:r w:rsidR="00E23C9A">
        <w:t xml:space="preserve"> </w:t>
      </w:r>
      <w:r w:rsidR="004D7575">
        <w:fldChar w:fldCharType="begin"/>
      </w:r>
      <w:r w:rsidR="004D7575">
        <w:instrText xml:space="preserve"> ADDIN ZOTERO_ITEM CSL_CITATION {"citationID":"Ddfx8NR0","properties":{"formattedCitation":"(Korolev et al. 1998)","plainCitation":"(Korolev et al. 1998)","noteIndex":0},"citationItems":[{"id":360,"uris":["http://zotero.org/groups/4663654/items/GU82UTSJ"],"itemData":{"id":360,"type":"article-journal","abstract":"Abstract The Nevzorov liquid water content (LWC) and total water content (TWC) probe is a constant-temperature, hot-wire probe designed for aircraft measurements of the ice and liquid water content of clouds. The probe consists of two separate sensors for measurements of cloud liquid and total (ice plus liquid) water content. Each sensor consists of a collector and a reference winding. The reference sensors are shielded from impact with cloud particles, specifically to provide an automatic compensation for convective heat losses. This results in a potentially improved sensitivity over uncompensated probes such as the King LWC probe. The Nevzorov probe has been used in four Canadian field experiments on the National Research Council (NRC) Convair580 since 1994. Intercomparison of Nevzorov LWC, TWC, King, and two PMS Forward Scattering Spectrometer Probes show good agreement in liquid clouds, although the Nevzorov probe displays distinct advantages in low-LWC situations due to a more stable baseline. The sensitivity of the probe is estimated to be approximately 0.003–0.005 g m−3. The accuracy of LWC measurements in nonprecipitating liquid clouds is estimated as 10%–15%. Tests at the NRC high-speed icing tunnel have provided verification of the TWC measurement for small frozen droplets to an accuracy of approximately 10%–20%, but verification in snow and natural ice crystals has not yet been possible due to the absence of any accurate standards. The TWC measurement offers not only the possibility of direct measurements of ice content but also improved liquid water contents in drizzle situations. Airborne measurements have provided data on the baseline drift and sensitivity of the probe and have provided comparisons to other conventional instruments. Several cases have been documented that exhibit the unique capabilities of the instrument to separate the ice and liquid components of supercooled clouds.","container-title":"Journal of Atmospheric and Oceanic Technology","DOI":"10.1175/1520-0426(1998)015&lt;1495:TNAHWL&gt;2.0.CO;2","ISSN":"0739-0572, 1520-0426","issue":"6","language":"EN","note":"publisher: American Meteorological Society\nsection: Journal of Atmospheric and Oceanic Technology","page":"1495-1510","source":"journals.ametsoc.org","title":"The Nevzorov Airborne Hot-Wire LWC–TWC Probe: Principle of Operation and Performance Characteristics","title-short":"The Nevzorov Airborne Hot-Wire LWC–TWC Probe","volume":"15","author":[{"family":"Korolev","given":"A. V."},{"family":"Strapp","given":"J. W."},{"family":"Isaac","given":"G. A."},{"family":"Nevzorov","given":"A. N."}],"issued":{"date-parts":[["1998",12,1]]}}}],"schema":"https://github.com/citation-style-language/schema/raw/master/csl-citation.json"} </w:instrText>
      </w:r>
      <w:r w:rsidR="004D7575">
        <w:fldChar w:fldCharType="separate"/>
      </w:r>
      <w:r w:rsidR="004D7575" w:rsidRPr="004D7575">
        <w:rPr>
          <w:rFonts w:cs="Times New Roman"/>
        </w:rPr>
        <w:t>(Korolev et al. 1998)</w:t>
      </w:r>
      <w:r w:rsidR="004D7575">
        <w:fldChar w:fldCharType="end"/>
      </w:r>
      <w:r w:rsidR="00F4193C">
        <w:t xml:space="preserve">, </w:t>
      </w:r>
      <w:r w:rsidR="00991FF7">
        <w:t xml:space="preserve">and the </w:t>
      </w:r>
      <w:r w:rsidR="00E23C9A">
        <w:t xml:space="preserve">King </w:t>
      </w:r>
      <w:r w:rsidR="0084622B">
        <w:t xml:space="preserve">liquid water content probe </w:t>
      </w:r>
      <w:r w:rsidR="00E23C9A">
        <w:fldChar w:fldCharType="begin"/>
      </w:r>
      <w:r w:rsidR="00E23C9A">
        <w:instrText xml:space="preserve"> ADDIN ZOTERO_ITEM CSL_CITATION {"citationID":"d0ozopG7","properties":{"formattedCitation":"(King et al. 1978)","plainCitation":"(King et al. 1978)","noteIndex":0},"citationItems":[{"id":363,"uris":["http://zotero.org/groups/4663654/items/LC5XMHCK"],"itemData":{"id":363,"type":"article-journal","abstract":"A sensor for measuring the liquid water content of clouds is described. Wet wind-tunnel tests show that the device, operating at 100 C, has a sensitivity of 0.02 g/cu m, a response time of better than 0.05 s, and an accuracy of 5% at 1 g/cu m. The device consists of thin copper wire wound on a hollow 1.5 mm diameter cylinder, and slave coils on either side of the master sensing coil reduce axial heat losses to an acceptable level. A simple relation exists between power supplied to the wire and the liquid water content.","container-title":"Journal of Applied Meteorology","DOI":"10.1175/1520-0450(1978)017&lt;1809:AHWLWD&gt;2.0.CO;2","ISSN":"0894-8763","note":"ADS Bibcode: 1978JApMe..17.1809K","page":"1809-1813","source":"NASA ADS","title":"A Hot-Wire Liquid Water Device Having Fully Calculable Response Characteristics.","volume":"17","author":[{"family":"King","given":"W. D."},{"family":"Parkin","given":"D. A."},{"family":"Handsworth","given":"R. J."}],"issued":{"date-parts":[["1978",12,1]]}}}],"schema":"https://github.com/citation-style-language/schema/raw/master/csl-citation.json"} </w:instrText>
      </w:r>
      <w:r w:rsidR="00E23C9A">
        <w:fldChar w:fldCharType="separate"/>
      </w:r>
      <w:r w:rsidR="00E23C9A" w:rsidRPr="00E23C9A">
        <w:rPr>
          <w:rFonts w:cs="Times New Roman"/>
        </w:rPr>
        <w:t>(King et al. 1978)</w:t>
      </w:r>
      <w:r w:rsidR="00E23C9A">
        <w:fldChar w:fldCharType="end"/>
      </w:r>
      <w:r w:rsidR="00394D75">
        <w:t>.</w:t>
      </w:r>
      <w:r w:rsidR="00E03428">
        <w:t xml:space="preserve"> Over the 60 s period below the melting layer, the </w:t>
      </w:r>
      <w:r w:rsidR="00051D9E">
        <w:t>total mass measured by the 2D-S</w:t>
      </w:r>
      <w:r w:rsidR="00780337">
        <w:t xml:space="preserve"> and HVPS3</w:t>
      </w:r>
      <w:r w:rsidR="00051D9E">
        <w:t xml:space="preserve"> is much greater than the </w:t>
      </w:r>
      <w:proofErr w:type="spellStart"/>
      <w:r w:rsidR="00051D9E">
        <w:t>Nevzorov</w:t>
      </w:r>
      <w:proofErr w:type="spellEnd"/>
      <w:r w:rsidR="00051D9E">
        <w:t xml:space="preserve"> and King probes</w:t>
      </w:r>
      <w:r w:rsidR="00515A43">
        <w:t xml:space="preserve"> (</w:t>
      </w:r>
      <w:r w:rsidR="00515A43">
        <w:fldChar w:fldCharType="begin"/>
      </w:r>
      <w:r w:rsidR="00515A43">
        <w:instrText xml:space="preserve"> REF _Ref109573396 \h </w:instrText>
      </w:r>
      <w:r w:rsidR="00515A43">
        <w:fldChar w:fldCharType="separate"/>
      </w:r>
      <w:r w:rsidR="00515A43">
        <w:t>Figure C</w:t>
      </w:r>
      <w:r w:rsidR="00515A43">
        <w:rPr>
          <w:noProof/>
        </w:rPr>
        <w:t>1</w:t>
      </w:r>
      <w:r w:rsidR="00515A43">
        <w:fldChar w:fldCharType="end"/>
      </w:r>
      <w:r w:rsidR="00515A43">
        <w:t>)</w:t>
      </w:r>
      <w:r w:rsidR="00051D9E">
        <w:t xml:space="preserve">. </w:t>
      </w:r>
      <w:r w:rsidR="00E149CC">
        <w:t xml:space="preserve">Despite the measurements being solely below the melting layer, the </w:t>
      </w:r>
      <w:proofErr w:type="spellStart"/>
      <w:r w:rsidR="00E149CC">
        <w:t>Nevzorov</w:t>
      </w:r>
      <w:proofErr w:type="spellEnd"/>
      <w:r w:rsidR="00E149CC">
        <w:t xml:space="preserve"> liquid and total water content differ.</w:t>
      </w:r>
      <w:r w:rsidR="00F85FA2">
        <w:t xml:space="preserve"> </w:t>
      </w:r>
      <w:r w:rsidR="00C475D0">
        <w:t xml:space="preserve">The </w:t>
      </w:r>
      <w:proofErr w:type="spellStart"/>
      <w:r w:rsidR="00C475D0">
        <w:t>Nevzorov</w:t>
      </w:r>
      <w:proofErr w:type="spellEnd"/>
      <w:r w:rsidR="00C475D0">
        <w:t xml:space="preserve"> liquid water content matches the 2D-S mass</w:t>
      </w:r>
      <w:r w:rsidR="00C475D0">
        <w:t xml:space="preserve"> at approximately 85 µm</w:t>
      </w:r>
      <w:r w:rsidR="004E4F87">
        <w:t xml:space="preserve">, whereas the </w:t>
      </w:r>
      <w:proofErr w:type="spellStart"/>
      <w:r w:rsidR="004E4F87">
        <w:t>Nevzorov</w:t>
      </w:r>
      <w:proofErr w:type="spellEnd"/>
      <w:r w:rsidR="004E4F87">
        <w:t xml:space="preserve"> total water content matches the 2D-S at approximately 100 µm. </w:t>
      </w:r>
      <w:r w:rsidR="00903D8E">
        <w:t xml:space="preserve">The difference between the </w:t>
      </w:r>
      <w:proofErr w:type="spellStart"/>
      <w:r w:rsidR="00903D8E">
        <w:t>Nevzorov</w:t>
      </w:r>
      <w:proofErr w:type="spellEnd"/>
      <w:r w:rsidR="00903D8E">
        <w:t xml:space="preserve"> liquid and total water content suggest</w:t>
      </w:r>
      <w:r w:rsidR="0052093F">
        <w:t>s</w:t>
      </w:r>
      <w:r w:rsidR="00903D8E">
        <w:t xml:space="preserve"> the probe</w:t>
      </w:r>
      <w:r w:rsidR="0052093F">
        <w:t xml:space="preserve"> is </w:t>
      </w:r>
      <w:r w:rsidR="00042187">
        <w:t>detecting</w:t>
      </w:r>
      <w:r w:rsidR="0086313E">
        <w:t xml:space="preserve"> ice even though all hydrometeors are </w:t>
      </w:r>
      <w:r w:rsidR="00042187">
        <w:t>melted</w:t>
      </w:r>
      <w:r w:rsidR="0086313E">
        <w:t>.</w:t>
      </w:r>
      <w:r w:rsidR="00903D8E">
        <w:t xml:space="preserve"> </w:t>
      </w:r>
      <w:r w:rsidR="00F85FA2">
        <w:t xml:space="preserve">The King probe matches the 2D-S mass </w:t>
      </w:r>
      <w:r w:rsidR="0059592F">
        <w:t xml:space="preserve">at </w:t>
      </w:r>
      <w:r w:rsidR="00114878">
        <w:t xml:space="preserve">a small diameter at </w:t>
      </w:r>
      <w:r w:rsidR="0059592F">
        <w:t xml:space="preserve">roughly 60 µm. </w:t>
      </w:r>
      <w:r w:rsidR="002E1780">
        <w:t xml:space="preserve">The relatively small diameter at which the </w:t>
      </w:r>
      <w:proofErr w:type="spellStart"/>
      <w:r w:rsidR="002E1780">
        <w:t>Nev</w:t>
      </w:r>
      <w:r w:rsidR="00A32EF2">
        <w:t>zorov</w:t>
      </w:r>
      <w:proofErr w:type="spellEnd"/>
      <w:r w:rsidR="00A32EF2">
        <w:t xml:space="preserve"> and 2D-S agree on mass suggests the </w:t>
      </w:r>
      <w:proofErr w:type="spellStart"/>
      <w:r w:rsidR="00A32EF2">
        <w:t>Nevzorov</w:t>
      </w:r>
      <w:proofErr w:type="spellEnd"/>
      <w:r w:rsidR="00A32EF2">
        <w:t xml:space="preserve"> does not detect most of the mass of liquid hydrometeors.</w:t>
      </w:r>
      <w:r w:rsidR="006977C3">
        <w:t xml:space="preserve"> </w:t>
      </w:r>
      <w:r w:rsidR="003C2B71">
        <w:t>The</w:t>
      </w:r>
      <w:r w:rsidR="003C2B71">
        <w:t xml:space="preserve"> 2D-S and HVPS3 </w:t>
      </w:r>
      <w:r w:rsidR="003C2B71">
        <w:t xml:space="preserve">mass measurements are in relatively close agreement. </w:t>
      </w:r>
      <w:r w:rsidR="006228C0">
        <w:t xml:space="preserve">Most mass comes from </w:t>
      </w:r>
      <w:r w:rsidR="00275810">
        <w:t>hydrometeors of approximately</w:t>
      </w:r>
      <w:r w:rsidR="006228C0">
        <w:t xml:space="preserve"> 100 to 300 µm and above 1,000 µm</w:t>
      </w:r>
      <w:r w:rsidR="00275810">
        <w:t xml:space="preserve"> diameters.</w:t>
      </w:r>
      <w:r w:rsidR="00054518">
        <w:t xml:space="preserve"> </w:t>
      </w:r>
      <w:r w:rsidR="005C10EF">
        <w:t xml:space="preserve">Further analysis of mass above, within, and below the melting layer </w:t>
      </w:r>
      <w:r w:rsidR="00E03370">
        <w:t xml:space="preserve">would provide details necessary to quantify the impact of relative humidity on </w:t>
      </w:r>
      <w:r w:rsidR="0090575E">
        <w:t>hydrometeors melting.</w:t>
      </w:r>
      <w:r w:rsidR="00D47E12">
        <w:t xml:space="preserve"> Ice water content measurements above the melting layer would also provide</w:t>
      </w:r>
      <w:r w:rsidR="000D5C67">
        <w:t xml:space="preserve"> </w:t>
      </w:r>
      <w:r w:rsidR="00D47E12">
        <w:t xml:space="preserve">information </w:t>
      </w:r>
      <w:r w:rsidR="00275810">
        <w:t xml:space="preserve">how frozen hydrometeor mass varies with diameter and </w:t>
      </w:r>
      <w:r w:rsidR="000D3D06">
        <w:t>how the mass shifts due to melting.</w:t>
      </w:r>
    </w:p>
    <w:p w14:paraId="25D7B9F3" w14:textId="5F7BC049" w:rsidR="00394D75" w:rsidRDefault="00394D75" w:rsidP="00405434">
      <w:pPr>
        <w:pStyle w:val="Body"/>
      </w:pPr>
    </w:p>
    <w:p w14:paraId="2AB6F00D" w14:textId="77777777" w:rsidR="00A75DD6" w:rsidRDefault="00A75DD6" w:rsidP="00A75DD6">
      <w:pPr>
        <w:pStyle w:val="Figure"/>
        <w:keepNext/>
      </w:pPr>
      <w:r>
        <w:rPr>
          <w:noProof/>
        </w:rPr>
        <w:lastRenderedPageBreak/>
        <w:drawing>
          <wp:inline distT="0" distB="0" distL="0" distR="0" wp14:anchorId="75694C76" wp14:editId="2332FF9C">
            <wp:extent cx="5943600" cy="73792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96" t="1348" r="3412" b="2527"/>
                    <a:stretch/>
                  </pic:blipFill>
                  <pic:spPr bwMode="auto">
                    <a:xfrm>
                      <a:off x="0" y="0"/>
                      <a:ext cx="5943600" cy="7379208"/>
                    </a:xfrm>
                    <a:prstGeom prst="rect">
                      <a:avLst/>
                    </a:prstGeom>
                    <a:noFill/>
                    <a:ln>
                      <a:noFill/>
                    </a:ln>
                    <a:extLst>
                      <a:ext uri="{53640926-AAD7-44D8-BBD7-CCE9431645EC}">
                        <a14:shadowObscured xmlns:a14="http://schemas.microsoft.com/office/drawing/2010/main"/>
                      </a:ext>
                    </a:extLst>
                  </pic:spPr>
                </pic:pic>
              </a:graphicData>
            </a:graphic>
          </wp:inline>
        </w:drawing>
      </w:r>
    </w:p>
    <w:p w14:paraId="62629337" w14:textId="55BF6957" w:rsidR="00A75DD6" w:rsidRDefault="00A75DD6" w:rsidP="00E149CC">
      <w:pPr>
        <w:pStyle w:val="Caption-Figure"/>
        <w:rPr>
          <w:lang w:val="en-IN"/>
        </w:rPr>
      </w:pPr>
      <w:bookmarkStart w:id="165" w:name="_Ref109573396"/>
      <w:r>
        <w:t>Figure C</w:t>
      </w:r>
      <w:r>
        <w:fldChar w:fldCharType="begin"/>
      </w:r>
      <w:r>
        <w:instrText xml:space="preserve"> SEQ Figure_C \* ARABIC </w:instrText>
      </w:r>
      <w:r>
        <w:fldChar w:fldCharType="separate"/>
      </w:r>
      <w:r>
        <w:rPr>
          <w:noProof/>
        </w:rPr>
        <w:t>1</w:t>
      </w:r>
      <w:r>
        <w:fldChar w:fldCharType="end"/>
      </w:r>
      <w:bookmarkEnd w:id="165"/>
      <w:r>
        <w:t xml:space="preserve">: </w:t>
      </w:r>
      <w:r w:rsidR="005000D3">
        <w:t>Plots showing the l</w:t>
      </w:r>
      <w:r>
        <w:t>iquid water content</w:t>
      </w:r>
      <w:r w:rsidR="005E4C57">
        <w:t xml:space="preserve"> (LWC)</w:t>
      </w:r>
      <w:r>
        <w:t xml:space="preserve"> from the Two-Dimensional Stereo (2D-S) probe</w:t>
      </w:r>
      <w:r w:rsidR="002445F9">
        <w:t xml:space="preserve"> and</w:t>
      </w:r>
      <w:r>
        <w:t xml:space="preserve"> High Volume Precipitation Spectrometer (HVPS3) probe</w:t>
      </w:r>
      <w:r w:rsidR="002445F9">
        <w:t xml:space="preserve"> </w:t>
      </w:r>
      <w:r w:rsidR="00095A2C">
        <w:t xml:space="preserve">per bin defined in </w:t>
      </w:r>
      <w:r w:rsidR="00095A2C">
        <w:fldChar w:fldCharType="begin"/>
      </w:r>
      <w:r w:rsidR="00095A2C">
        <w:instrText xml:space="preserve"> REF _Ref103885783 \h </w:instrText>
      </w:r>
      <w:r w:rsidR="00095A2C">
        <w:fldChar w:fldCharType="separate"/>
      </w:r>
      <w:r w:rsidR="00095A2C" w:rsidRPr="00CF0DF4">
        <w:t xml:space="preserve">Table </w:t>
      </w:r>
      <w:r w:rsidR="00095A2C">
        <w:rPr>
          <w:noProof/>
        </w:rPr>
        <w:t>2</w:t>
      </w:r>
      <w:r w:rsidR="00095A2C">
        <w:fldChar w:fldCharType="end"/>
      </w:r>
      <w:r w:rsidR="00B031A6">
        <w:t xml:space="preserve"> </w:t>
      </w:r>
      <w:r w:rsidR="00B031A6">
        <w:t>(top)</w:t>
      </w:r>
      <w:r w:rsidR="005E4C57">
        <w:t xml:space="preserve">, and the rolling total of the 2D-S LWC compared to the </w:t>
      </w:r>
      <w:proofErr w:type="spellStart"/>
      <w:r w:rsidR="005000D3">
        <w:t>Nevzorov</w:t>
      </w:r>
      <w:proofErr w:type="spellEnd"/>
      <w:r w:rsidR="005E4C57">
        <w:t xml:space="preserve"> LWC and total water </w:t>
      </w:r>
      <w:r w:rsidR="005E4C57">
        <w:lastRenderedPageBreak/>
        <w:t>content (TWC)</w:t>
      </w:r>
      <w:r w:rsidR="001F472E">
        <w:t xml:space="preserve"> and the King LWC (bottom).</w:t>
      </w:r>
      <w:r w:rsidR="002445F9">
        <w:t xml:space="preserve"> </w:t>
      </w:r>
      <w:r w:rsidR="00995958">
        <w:t>Measurements are taken</w:t>
      </w:r>
      <w:r w:rsidR="009659AB">
        <w:t xml:space="preserve"> from 75578 to </w:t>
      </w:r>
      <w:r w:rsidR="00A41903">
        <w:t>75618 seconds from midnight on 12 NOV 2015</w:t>
      </w:r>
      <w:r w:rsidR="00995958">
        <w:t xml:space="preserve"> </w:t>
      </w:r>
      <w:r w:rsidR="00A41903">
        <w:t>providing a 60 s</w:t>
      </w:r>
      <w:r w:rsidR="00E149CC">
        <w:t xml:space="preserve"> period below the melting layer</w:t>
      </w:r>
      <w:r w:rsidR="00F85FA2">
        <w:t>.</w:t>
      </w:r>
      <w:r>
        <w:br w:type="page"/>
      </w:r>
    </w:p>
    <w:p w14:paraId="50D016B2" w14:textId="1CA91FEA" w:rsidR="00DC03CF" w:rsidRPr="00511C85" w:rsidRDefault="00DC03CF" w:rsidP="00515379">
      <w:pPr>
        <w:pStyle w:val="Heading1"/>
        <w:rPr>
          <w:rFonts w:cs="Times New Roman"/>
          <w:lang w:val="en-US"/>
        </w:rPr>
      </w:pPr>
      <w:bookmarkStart w:id="166" w:name="_Toc109123113"/>
      <w:r w:rsidRPr="00511C85">
        <w:rPr>
          <w:rFonts w:cs="Times New Roman"/>
          <w:lang w:val="en-US"/>
        </w:rPr>
        <w:lastRenderedPageBreak/>
        <w:t>REFERENCES</w:t>
      </w:r>
      <w:bookmarkEnd w:id="164"/>
      <w:bookmarkEnd w:id="166"/>
    </w:p>
    <w:p w14:paraId="62BCD757" w14:textId="77777777" w:rsidR="00287F4F" w:rsidRPr="00287F4F" w:rsidRDefault="005A429C" w:rsidP="00287F4F">
      <w:pPr>
        <w:pStyle w:val="Bibliography"/>
        <w:rPr>
          <w:sz w:val="24"/>
        </w:rPr>
      </w:pPr>
      <w:r>
        <w:fldChar w:fldCharType="begin"/>
      </w:r>
      <w:r>
        <w:instrText xml:space="preserve"> ADDIN ZOTERO_BIBL {"uncited":[],"omitted":[],"custom":[]} CSL_BIBLIOGRAPHY </w:instrText>
      </w:r>
      <w:r>
        <w:fldChar w:fldCharType="separate"/>
      </w:r>
      <w:r w:rsidR="00287F4F" w:rsidRPr="00287F4F">
        <w:rPr>
          <w:sz w:val="24"/>
        </w:rPr>
        <w:t xml:space="preserve">Atlas, D., R. </w:t>
      </w:r>
      <w:proofErr w:type="spellStart"/>
      <w:r w:rsidR="00287F4F" w:rsidRPr="00287F4F">
        <w:rPr>
          <w:sz w:val="24"/>
        </w:rPr>
        <w:t>Tatehira</w:t>
      </w:r>
      <w:proofErr w:type="spellEnd"/>
      <w:r w:rsidR="00287F4F" w:rsidRPr="00287F4F">
        <w:rPr>
          <w:sz w:val="24"/>
        </w:rPr>
        <w:t xml:space="preserve">, R. C. Srivastava, W. Marker, and R. E. Carbone, 1969: Precipitation-induced mesoscale wind perturbations in the melting layer. </w:t>
      </w:r>
      <w:r w:rsidR="00287F4F" w:rsidRPr="00287F4F">
        <w:rPr>
          <w:i/>
          <w:iCs/>
          <w:sz w:val="24"/>
        </w:rPr>
        <w:t>Quarterly Journal of the Royal Meteorological Society</w:t>
      </w:r>
      <w:r w:rsidR="00287F4F" w:rsidRPr="00287F4F">
        <w:rPr>
          <w:sz w:val="24"/>
        </w:rPr>
        <w:t xml:space="preserve">, </w:t>
      </w:r>
      <w:r w:rsidR="00287F4F" w:rsidRPr="00287F4F">
        <w:rPr>
          <w:b/>
          <w:bCs/>
          <w:sz w:val="24"/>
        </w:rPr>
        <w:t>95</w:t>
      </w:r>
      <w:r w:rsidR="00287F4F" w:rsidRPr="00287F4F">
        <w:rPr>
          <w:sz w:val="24"/>
        </w:rPr>
        <w:t>, 544–560, https://doi.org/10.1002/qj.49709540508.</w:t>
      </w:r>
    </w:p>
    <w:p w14:paraId="019E08F0" w14:textId="77777777" w:rsidR="00287F4F" w:rsidRPr="00287F4F" w:rsidRDefault="00287F4F" w:rsidP="00287F4F">
      <w:pPr>
        <w:pStyle w:val="Bibliography"/>
        <w:rPr>
          <w:sz w:val="24"/>
        </w:rPr>
      </w:pPr>
      <w:r w:rsidRPr="00287F4F">
        <w:rPr>
          <w:sz w:val="24"/>
        </w:rPr>
        <w:t xml:space="preserve">Austin, P. M., and A. C. Bemis, 1950: A QUANTITATIVE STUDY OF THE “BRIGHT BAND” IN RADAR PRECIPITATION ECHOES. </w:t>
      </w:r>
      <w:r w:rsidRPr="00287F4F">
        <w:rPr>
          <w:i/>
          <w:iCs/>
          <w:sz w:val="24"/>
        </w:rPr>
        <w:t>Journal of the Atmospheric Sciences</w:t>
      </w:r>
      <w:r w:rsidRPr="00287F4F">
        <w:rPr>
          <w:sz w:val="24"/>
        </w:rPr>
        <w:t xml:space="preserve">, </w:t>
      </w:r>
      <w:r w:rsidRPr="00287F4F">
        <w:rPr>
          <w:b/>
          <w:bCs/>
          <w:sz w:val="24"/>
        </w:rPr>
        <w:t>7</w:t>
      </w:r>
      <w:r w:rsidRPr="00287F4F">
        <w:rPr>
          <w:sz w:val="24"/>
        </w:rPr>
        <w:t>, 145–151, https://doi.org/10.1175/1520-0469(1950)007&lt;</w:t>
      </w:r>
      <w:proofErr w:type="gramStart"/>
      <w:r w:rsidRPr="00287F4F">
        <w:rPr>
          <w:sz w:val="24"/>
        </w:rPr>
        <w:t>0145:AQSOTB</w:t>
      </w:r>
      <w:proofErr w:type="gramEnd"/>
      <w:r w:rsidRPr="00287F4F">
        <w:rPr>
          <w:sz w:val="24"/>
        </w:rPr>
        <w:t>&gt;2.0.CO;2.</w:t>
      </w:r>
    </w:p>
    <w:p w14:paraId="26C99AFB" w14:textId="77777777" w:rsidR="00287F4F" w:rsidRPr="00287F4F" w:rsidRDefault="00287F4F" w:rsidP="00287F4F">
      <w:pPr>
        <w:pStyle w:val="Bibliography"/>
        <w:rPr>
          <w:sz w:val="24"/>
        </w:rPr>
      </w:pPr>
      <w:proofErr w:type="spellStart"/>
      <w:r w:rsidRPr="00287F4F">
        <w:rPr>
          <w:sz w:val="24"/>
        </w:rPr>
        <w:t>Baeck</w:t>
      </w:r>
      <w:proofErr w:type="spellEnd"/>
      <w:r w:rsidRPr="00287F4F">
        <w:rPr>
          <w:sz w:val="24"/>
        </w:rPr>
        <w:t xml:space="preserve">, M. L., and J. A. Smith, 1998: Rainfall Estimation by the WSR-88D for Heavy Rainfall Events. </w:t>
      </w:r>
      <w:r w:rsidRPr="00287F4F">
        <w:rPr>
          <w:i/>
          <w:iCs/>
          <w:sz w:val="24"/>
        </w:rPr>
        <w:t>Weather and Forecasting</w:t>
      </w:r>
      <w:r w:rsidRPr="00287F4F">
        <w:rPr>
          <w:sz w:val="24"/>
        </w:rPr>
        <w:t xml:space="preserve">, </w:t>
      </w:r>
      <w:r w:rsidRPr="00287F4F">
        <w:rPr>
          <w:b/>
          <w:bCs/>
          <w:sz w:val="24"/>
        </w:rPr>
        <w:t>13</w:t>
      </w:r>
      <w:r w:rsidRPr="00287F4F">
        <w:rPr>
          <w:sz w:val="24"/>
        </w:rPr>
        <w:t>, 416–436, https://doi.org/10.1175/1520-0434(1998)013&lt;</w:t>
      </w:r>
      <w:proofErr w:type="gramStart"/>
      <w:r w:rsidRPr="00287F4F">
        <w:rPr>
          <w:sz w:val="24"/>
        </w:rPr>
        <w:t>0416:REBTWF</w:t>
      </w:r>
      <w:proofErr w:type="gramEnd"/>
      <w:r w:rsidRPr="00287F4F">
        <w:rPr>
          <w:sz w:val="24"/>
        </w:rPr>
        <w:t>&gt;2.0.CO;2.</w:t>
      </w:r>
    </w:p>
    <w:p w14:paraId="1F4B6714" w14:textId="77777777" w:rsidR="00287F4F" w:rsidRPr="00287F4F" w:rsidRDefault="00287F4F" w:rsidP="00287F4F">
      <w:pPr>
        <w:pStyle w:val="Bibliography"/>
        <w:rPr>
          <w:sz w:val="24"/>
        </w:rPr>
      </w:pPr>
      <w:proofErr w:type="spellStart"/>
      <w:r w:rsidRPr="00287F4F">
        <w:rPr>
          <w:sz w:val="24"/>
        </w:rPr>
        <w:t>Battan</w:t>
      </w:r>
      <w:proofErr w:type="spellEnd"/>
      <w:r w:rsidRPr="00287F4F">
        <w:rPr>
          <w:sz w:val="24"/>
        </w:rPr>
        <w:t xml:space="preserve">, L., 1973: Radar observation of the atmosphere. </w:t>
      </w:r>
      <w:r w:rsidRPr="00287F4F">
        <w:rPr>
          <w:i/>
          <w:iCs/>
          <w:sz w:val="24"/>
        </w:rPr>
        <w:t>University of Chicago Press</w:t>
      </w:r>
      <w:r w:rsidRPr="00287F4F">
        <w:rPr>
          <w:sz w:val="24"/>
        </w:rPr>
        <w:t>, 324, https://doi.org/10.1002/qj.49709942229.</w:t>
      </w:r>
    </w:p>
    <w:p w14:paraId="2ABE2BB8" w14:textId="77777777" w:rsidR="00287F4F" w:rsidRPr="00287F4F" w:rsidRDefault="00287F4F" w:rsidP="00287F4F">
      <w:pPr>
        <w:pStyle w:val="Bibliography"/>
        <w:rPr>
          <w:sz w:val="24"/>
        </w:rPr>
      </w:pPr>
      <w:r w:rsidRPr="00287F4F">
        <w:rPr>
          <w:sz w:val="24"/>
        </w:rPr>
        <w:t xml:space="preserve">Carbone, R. E., 1982: A Severe Frontal Rainband. Part I. </w:t>
      </w:r>
      <w:proofErr w:type="spellStart"/>
      <w:r w:rsidRPr="00287F4F">
        <w:rPr>
          <w:sz w:val="24"/>
        </w:rPr>
        <w:t>Stormwide</w:t>
      </w:r>
      <w:proofErr w:type="spellEnd"/>
      <w:r w:rsidRPr="00287F4F">
        <w:rPr>
          <w:sz w:val="24"/>
        </w:rPr>
        <w:t xml:space="preserve"> Hydrodynamic Structure. </w:t>
      </w:r>
      <w:r w:rsidRPr="00287F4F">
        <w:rPr>
          <w:i/>
          <w:iCs/>
          <w:sz w:val="24"/>
        </w:rPr>
        <w:t>Journal of the Atmospheric Sciences</w:t>
      </w:r>
      <w:r w:rsidRPr="00287F4F">
        <w:rPr>
          <w:sz w:val="24"/>
        </w:rPr>
        <w:t xml:space="preserve">, </w:t>
      </w:r>
      <w:r w:rsidRPr="00287F4F">
        <w:rPr>
          <w:b/>
          <w:bCs/>
          <w:sz w:val="24"/>
        </w:rPr>
        <w:t>39</w:t>
      </w:r>
      <w:r w:rsidRPr="00287F4F">
        <w:rPr>
          <w:sz w:val="24"/>
        </w:rPr>
        <w:t>, 258–279, https://doi.org/10.1175/1520-0469(1982)039&lt;</w:t>
      </w:r>
      <w:proofErr w:type="gramStart"/>
      <w:r w:rsidRPr="00287F4F">
        <w:rPr>
          <w:sz w:val="24"/>
        </w:rPr>
        <w:t>0258:ASFRPI</w:t>
      </w:r>
      <w:proofErr w:type="gramEnd"/>
      <w:r w:rsidRPr="00287F4F">
        <w:rPr>
          <w:sz w:val="24"/>
        </w:rPr>
        <w:t>&gt;2.0.CO;2.</w:t>
      </w:r>
    </w:p>
    <w:p w14:paraId="5C9FEB93" w14:textId="77777777" w:rsidR="00287F4F" w:rsidRPr="00287F4F" w:rsidRDefault="00287F4F" w:rsidP="00287F4F">
      <w:pPr>
        <w:pStyle w:val="Bibliography"/>
        <w:rPr>
          <w:sz w:val="24"/>
        </w:rPr>
      </w:pPr>
      <w:r w:rsidRPr="00287F4F">
        <w:rPr>
          <w:sz w:val="24"/>
        </w:rPr>
        <w:t xml:space="preserve">Carlin, J. T., and A. V. </w:t>
      </w:r>
      <w:proofErr w:type="spellStart"/>
      <w:r w:rsidRPr="00287F4F">
        <w:rPr>
          <w:sz w:val="24"/>
        </w:rPr>
        <w:t>Ryzhkov</w:t>
      </w:r>
      <w:proofErr w:type="spellEnd"/>
      <w:r w:rsidRPr="00287F4F">
        <w:rPr>
          <w:sz w:val="24"/>
        </w:rPr>
        <w:t xml:space="preserve">, 2019: Estimation of Melting-Layer Cooling Rate from Dual-Polarization Radar: Spectral Bin Model Simulations. </w:t>
      </w:r>
      <w:r w:rsidRPr="00287F4F">
        <w:rPr>
          <w:i/>
          <w:iCs/>
          <w:sz w:val="24"/>
        </w:rPr>
        <w:t>Journal of Applied Meteorology and Climatology</w:t>
      </w:r>
      <w:r w:rsidRPr="00287F4F">
        <w:rPr>
          <w:sz w:val="24"/>
        </w:rPr>
        <w:t xml:space="preserve">, </w:t>
      </w:r>
      <w:r w:rsidRPr="00287F4F">
        <w:rPr>
          <w:b/>
          <w:bCs/>
          <w:sz w:val="24"/>
        </w:rPr>
        <w:t>58</w:t>
      </w:r>
      <w:r w:rsidRPr="00287F4F">
        <w:rPr>
          <w:sz w:val="24"/>
        </w:rPr>
        <w:t>, 1485–1508, https://doi.org/10.1175/JAMC-D-18-0343.1.</w:t>
      </w:r>
    </w:p>
    <w:p w14:paraId="7E1D51A9" w14:textId="77777777" w:rsidR="00287F4F" w:rsidRPr="00287F4F" w:rsidRDefault="00287F4F" w:rsidP="00287F4F">
      <w:pPr>
        <w:pStyle w:val="Bibliography"/>
        <w:rPr>
          <w:sz w:val="24"/>
        </w:rPr>
      </w:pPr>
      <w:r w:rsidRPr="00287F4F">
        <w:rPr>
          <w:sz w:val="24"/>
        </w:rPr>
        <w:t xml:space="preserve">Chen, H., and V. Chandrasekar, 2014: Estimation of rainfall drop size distribution from dual-polarization measurements at S-band, X-band, and Ku-band radar frequencies. </w:t>
      </w:r>
      <w:r w:rsidRPr="00287F4F">
        <w:rPr>
          <w:i/>
          <w:iCs/>
          <w:sz w:val="24"/>
        </w:rPr>
        <w:t>2014 IEEE Geoscience and Remote Sensing Symposium</w:t>
      </w:r>
      <w:r w:rsidRPr="00287F4F">
        <w:rPr>
          <w:sz w:val="24"/>
        </w:rPr>
        <w:t>, 4978–4981.</w:t>
      </w:r>
    </w:p>
    <w:p w14:paraId="45D2AE17" w14:textId="77777777" w:rsidR="00287F4F" w:rsidRPr="00287F4F" w:rsidRDefault="00287F4F" w:rsidP="00287F4F">
      <w:pPr>
        <w:pStyle w:val="Bibliography"/>
        <w:rPr>
          <w:sz w:val="24"/>
        </w:rPr>
      </w:pPr>
      <w:proofErr w:type="spellStart"/>
      <w:r w:rsidRPr="00287F4F">
        <w:rPr>
          <w:sz w:val="24"/>
        </w:rPr>
        <w:t>Delene</w:t>
      </w:r>
      <w:proofErr w:type="spellEnd"/>
      <w:r w:rsidRPr="00287F4F">
        <w:rPr>
          <w:sz w:val="24"/>
        </w:rPr>
        <w:t xml:space="preserve">, D. J., 2011: Airborne data processing and analysis software package. </w:t>
      </w:r>
      <w:r w:rsidRPr="00287F4F">
        <w:rPr>
          <w:i/>
          <w:iCs/>
          <w:sz w:val="24"/>
        </w:rPr>
        <w:t>Earth Sci Inform</w:t>
      </w:r>
      <w:r w:rsidRPr="00287F4F">
        <w:rPr>
          <w:sz w:val="24"/>
        </w:rPr>
        <w:t xml:space="preserve">, </w:t>
      </w:r>
      <w:r w:rsidRPr="00287F4F">
        <w:rPr>
          <w:b/>
          <w:bCs/>
          <w:sz w:val="24"/>
        </w:rPr>
        <w:t>4</w:t>
      </w:r>
      <w:r w:rsidRPr="00287F4F">
        <w:rPr>
          <w:sz w:val="24"/>
        </w:rPr>
        <w:t>, 29–44, https://doi.org/10.1007/s12145-010-0061-4.</w:t>
      </w:r>
    </w:p>
    <w:p w14:paraId="3E6D7F33" w14:textId="77777777" w:rsidR="00287F4F" w:rsidRPr="00287F4F" w:rsidRDefault="00287F4F" w:rsidP="00287F4F">
      <w:pPr>
        <w:pStyle w:val="Bibliography"/>
        <w:rPr>
          <w:sz w:val="24"/>
        </w:rPr>
      </w:pPr>
      <w:r w:rsidRPr="00287F4F">
        <w:rPr>
          <w:sz w:val="24"/>
        </w:rPr>
        <w:t xml:space="preserve">Ding, B., K. Yang, J. Qin, L. Wang, Y. Chen, and X. He, 2014: The dependence of precipitation types on surface elevation and meteorological conditions and its parameterization. </w:t>
      </w:r>
      <w:r w:rsidRPr="00287F4F">
        <w:rPr>
          <w:i/>
          <w:iCs/>
          <w:sz w:val="24"/>
        </w:rPr>
        <w:t>Journal of Hydrology</w:t>
      </w:r>
      <w:r w:rsidRPr="00287F4F">
        <w:rPr>
          <w:sz w:val="24"/>
        </w:rPr>
        <w:t xml:space="preserve">, </w:t>
      </w:r>
      <w:r w:rsidRPr="00287F4F">
        <w:rPr>
          <w:b/>
          <w:bCs/>
          <w:sz w:val="24"/>
        </w:rPr>
        <w:t>513</w:t>
      </w:r>
      <w:r w:rsidRPr="00287F4F">
        <w:rPr>
          <w:sz w:val="24"/>
        </w:rPr>
        <w:t>, 154–163, https://doi.org/10.1016/j.jhydrol.2014.03.038.</w:t>
      </w:r>
    </w:p>
    <w:p w14:paraId="09B58F03" w14:textId="77777777" w:rsidR="00287F4F" w:rsidRPr="00287F4F" w:rsidRDefault="00287F4F" w:rsidP="00287F4F">
      <w:pPr>
        <w:pStyle w:val="Bibliography"/>
        <w:rPr>
          <w:sz w:val="24"/>
        </w:rPr>
      </w:pPr>
      <w:r w:rsidRPr="00287F4F">
        <w:rPr>
          <w:sz w:val="24"/>
        </w:rPr>
        <w:t xml:space="preserve">Fabry, F., and I. </w:t>
      </w:r>
      <w:proofErr w:type="spellStart"/>
      <w:r w:rsidRPr="00287F4F">
        <w:rPr>
          <w:sz w:val="24"/>
        </w:rPr>
        <w:t>Zawadzki</w:t>
      </w:r>
      <w:proofErr w:type="spellEnd"/>
      <w:r w:rsidRPr="00287F4F">
        <w:rPr>
          <w:sz w:val="24"/>
        </w:rPr>
        <w:t xml:space="preserve">, 1995: Long-Term Radar Observations of the Melting Layer of Precipitation and Their Interpretation. </w:t>
      </w:r>
      <w:r w:rsidRPr="00287F4F">
        <w:rPr>
          <w:i/>
          <w:iCs/>
          <w:sz w:val="24"/>
        </w:rPr>
        <w:t>Journal of the Atmospheric Sciences</w:t>
      </w:r>
      <w:r w:rsidRPr="00287F4F">
        <w:rPr>
          <w:sz w:val="24"/>
        </w:rPr>
        <w:t xml:space="preserve">, </w:t>
      </w:r>
      <w:r w:rsidRPr="00287F4F">
        <w:rPr>
          <w:b/>
          <w:bCs/>
          <w:sz w:val="24"/>
        </w:rPr>
        <w:t>52</w:t>
      </w:r>
      <w:r w:rsidRPr="00287F4F">
        <w:rPr>
          <w:sz w:val="24"/>
        </w:rPr>
        <w:t>, 838–851, https://doi.org/10.1175/1520-0469(1995)052&lt;</w:t>
      </w:r>
      <w:proofErr w:type="gramStart"/>
      <w:r w:rsidRPr="00287F4F">
        <w:rPr>
          <w:sz w:val="24"/>
        </w:rPr>
        <w:t>0838:LTROOT</w:t>
      </w:r>
      <w:proofErr w:type="gramEnd"/>
      <w:r w:rsidRPr="00287F4F">
        <w:rPr>
          <w:sz w:val="24"/>
        </w:rPr>
        <w:t>&gt;2.0.CO;2.</w:t>
      </w:r>
    </w:p>
    <w:p w14:paraId="153C2482" w14:textId="77777777" w:rsidR="00287F4F" w:rsidRPr="00287F4F" w:rsidRDefault="00287F4F" w:rsidP="00287F4F">
      <w:pPr>
        <w:pStyle w:val="Bibliography"/>
        <w:rPr>
          <w:sz w:val="24"/>
        </w:rPr>
      </w:pPr>
      <w:proofErr w:type="spellStart"/>
      <w:r w:rsidRPr="00287F4F">
        <w:rPr>
          <w:sz w:val="24"/>
        </w:rPr>
        <w:t>Findeisen</w:t>
      </w:r>
      <w:proofErr w:type="spellEnd"/>
      <w:r w:rsidRPr="00287F4F">
        <w:rPr>
          <w:sz w:val="24"/>
        </w:rPr>
        <w:t xml:space="preserve">, W., 1940: The formation of the 0°C isothermal layer and fractocumulus under nimbostratus. </w:t>
      </w:r>
      <w:r w:rsidRPr="00287F4F">
        <w:rPr>
          <w:i/>
          <w:iCs/>
          <w:sz w:val="24"/>
        </w:rPr>
        <w:t>Meteor. Z.</w:t>
      </w:r>
      <w:r w:rsidRPr="00287F4F">
        <w:rPr>
          <w:sz w:val="24"/>
        </w:rPr>
        <w:t xml:space="preserve">, </w:t>
      </w:r>
      <w:r w:rsidRPr="00287F4F">
        <w:rPr>
          <w:b/>
          <w:bCs/>
          <w:sz w:val="24"/>
        </w:rPr>
        <w:t>57</w:t>
      </w:r>
      <w:r w:rsidRPr="00287F4F">
        <w:rPr>
          <w:sz w:val="24"/>
        </w:rPr>
        <w:t>, 49–54.</w:t>
      </w:r>
    </w:p>
    <w:p w14:paraId="3F514E77" w14:textId="77777777" w:rsidR="00287F4F" w:rsidRPr="00287F4F" w:rsidRDefault="00287F4F" w:rsidP="00287F4F">
      <w:pPr>
        <w:pStyle w:val="Bibliography"/>
        <w:rPr>
          <w:sz w:val="24"/>
        </w:rPr>
      </w:pPr>
      <w:r w:rsidRPr="00287F4F">
        <w:rPr>
          <w:sz w:val="24"/>
        </w:rPr>
        <w:t xml:space="preserve">Freud, E., D. Rosenfeld, and J. R. Kulkarni, 2011: Resolving both entrainment-mixing and number of activated CCN in deep convective clouds. </w:t>
      </w:r>
      <w:r w:rsidRPr="00287F4F">
        <w:rPr>
          <w:i/>
          <w:iCs/>
          <w:sz w:val="24"/>
        </w:rPr>
        <w:t>Atmospheric Chemistry and Physics</w:t>
      </w:r>
      <w:r w:rsidRPr="00287F4F">
        <w:rPr>
          <w:sz w:val="24"/>
        </w:rPr>
        <w:t xml:space="preserve">, </w:t>
      </w:r>
      <w:r w:rsidRPr="00287F4F">
        <w:rPr>
          <w:b/>
          <w:bCs/>
          <w:sz w:val="24"/>
        </w:rPr>
        <w:t>11</w:t>
      </w:r>
      <w:r w:rsidRPr="00287F4F">
        <w:rPr>
          <w:sz w:val="24"/>
        </w:rPr>
        <w:t>, 12887–12900, https://doi.org/10.5194/acp-11-12887-2011.</w:t>
      </w:r>
    </w:p>
    <w:p w14:paraId="2D3C10C3" w14:textId="77777777" w:rsidR="00287F4F" w:rsidRPr="00287F4F" w:rsidRDefault="00287F4F" w:rsidP="00287F4F">
      <w:pPr>
        <w:pStyle w:val="Bibliography"/>
        <w:rPr>
          <w:sz w:val="24"/>
        </w:rPr>
      </w:pPr>
      <w:proofErr w:type="spellStart"/>
      <w:r w:rsidRPr="00287F4F">
        <w:rPr>
          <w:sz w:val="24"/>
        </w:rPr>
        <w:t>Fujiyoshi</w:t>
      </w:r>
      <w:proofErr w:type="spellEnd"/>
      <w:r w:rsidRPr="00287F4F">
        <w:rPr>
          <w:sz w:val="24"/>
        </w:rPr>
        <w:t xml:space="preserve">, Y., 1986: Melting Snowflakes. </w:t>
      </w:r>
      <w:r w:rsidRPr="00287F4F">
        <w:rPr>
          <w:i/>
          <w:iCs/>
          <w:sz w:val="24"/>
        </w:rPr>
        <w:t>Journal of the Atmospheric Sciences</w:t>
      </w:r>
      <w:r w:rsidRPr="00287F4F">
        <w:rPr>
          <w:sz w:val="24"/>
        </w:rPr>
        <w:t xml:space="preserve">, </w:t>
      </w:r>
      <w:r w:rsidRPr="00287F4F">
        <w:rPr>
          <w:b/>
          <w:bCs/>
          <w:sz w:val="24"/>
        </w:rPr>
        <w:t>43</w:t>
      </w:r>
      <w:r w:rsidRPr="00287F4F">
        <w:rPr>
          <w:sz w:val="24"/>
        </w:rPr>
        <w:t>, 307–311, https://doi.org/10.1175/1520-0469(1986)043&lt;0307:MS&gt;2.0.CO;2.</w:t>
      </w:r>
    </w:p>
    <w:p w14:paraId="745BC108" w14:textId="77777777" w:rsidR="00287F4F" w:rsidRPr="00287F4F" w:rsidRDefault="00287F4F" w:rsidP="00287F4F">
      <w:pPr>
        <w:pStyle w:val="Bibliography"/>
        <w:rPr>
          <w:sz w:val="24"/>
        </w:rPr>
      </w:pPr>
      <w:proofErr w:type="spellStart"/>
      <w:r w:rsidRPr="00287F4F">
        <w:rPr>
          <w:sz w:val="24"/>
        </w:rPr>
        <w:t>Gorgucci</w:t>
      </w:r>
      <w:proofErr w:type="spellEnd"/>
      <w:r w:rsidRPr="00287F4F">
        <w:rPr>
          <w:sz w:val="24"/>
        </w:rPr>
        <w:t xml:space="preserve">, E., L. </w:t>
      </w:r>
      <w:proofErr w:type="spellStart"/>
      <w:r w:rsidRPr="00287F4F">
        <w:rPr>
          <w:sz w:val="24"/>
        </w:rPr>
        <w:t>Baldini</w:t>
      </w:r>
      <w:proofErr w:type="spellEnd"/>
      <w:r w:rsidRPr="00287F4F">
        <w:rPr>
          <w:sz w:val="24"/>
        </w:rPr>
        <w:t xml:space="preserve">, and V. Chandrasekar, 2006: What Is the Shape of a Raindrop? An Answer from Radar Measurements. </w:t>
      </w:r>
      <w:r w:rsidRPr="00287F4F">
        <w:rPr>
          <w:i/>
          <w:iCs/>
          <w:sz w:val="24"/>
        </w:rPr>
        <w:t>Journal of the Atmospheric Sciences</w:t>
      </w:r>
      <w:r w:rsidRPr="00287F4F">
        <w:rPr>
          <w:sz w:val="24"/>
        </w:rPr>
        <w:t xml:space="preserve">, </w:t>
      </w:r>
      <w:r w:rsidRPr="00287F4F">
        <w:rPr>
          <w:b/>
          <w:bCs/>
          <w:sz w:val="24"/>
        </w:rPr>
        <w:t>63</w:t>
      </w:r>
      <w:r w:rsidRPr="00287F4F">
        <w:rPr>
          <w:sz w:val="24"/>
        </w:rPr>
        <w:t>, 3033–3044, https://doi.org/10.1175/JAS3781.1.</w:t>
      </w:r>
    </w:p>
    <w:p w14:paraId="7F0958F2" w14:textId="77777777" w:rsidR="00287F4F" w:rsidRPr="00287F4F" w:rsidRDefault="00287F4F" w:rsidP="00287F4F">
      <w:pPr>
        <w:pStyle w:val="Bibliography"/>
        <w:rPr>
          <w:sz w:val="24"/>
        </w:rPr>
      </w:pPr>
      <w:r w:rsidRPr="00287F4F">
        <w:rPr>
          <w:sz w:val="24"/>
        </w:rPr>
        <w:t xml:space="preserve">Guo, X., C. Lu, T. Zhao, G. J. Zhang, and Y. Liu, 2015: An Observational Study of Entrainment Rate in Deep Convection. </w:t>
      </w:r>
      <w:r w:rsidRPr="00287F4F">
        <w:rPr>
          <w:i/>
          <w:iCs/>
          <w:sz w:val="24"/>
        </w:rPr>
        <w:t>Atmosphere</w:t>
      </w:r>
      <w:r w:rsidRPr="00287F4F">
        <w:rPr>
          <w:sz w:val="24"/>
        </w:rPr>
        <w:t xml:space="preserve">, </w:t>
      </w:r>
      <w:r w:rsidRPr="00287F4F">
        <w:rPr>
          <w:b/>
          <w:bCs/>
          <w:sz w:val="24"/>
        </w:rPr>
        <w:t>6</w:t>
      </w:r>
      <w:r w:rsidRPr="00287F4F">
        <w:rPr>
          <w:sz w:val="24"/>
        </w:rPr>
        <w:t>, 1362–1376, https://doi.org/10.3390/atmos6091362.</w:t>
      </w:r>
    </w:p>
    <w:p w14:paraId="24A644A9" w14:textId="77777777" w:rsidR="00287F4F" w:rsidRPr="00287F4F" w:rsidRDefault="00287F4F" w:rsidP="00287F4F">
      <w:pPr>
        <w:pStyle w:val="Bibliography"/>
        <w:rPr>
          <w:sz w:val="24"/>
        </w:rPr>
      </w:pPr>
      <w:r w:rsidRPr="00287F4F">
        <w:rPr>
          <w:sz w:val="24"/>
        </w:rPr>
        <w:t xml:space="preserve">Harrison, D. L., S. J. Driscoll, and M. Kitchen, 2000: Improving precipitation estimates from weather radar using quality control and correction techniques. </w:t>
      </w:r>
      <w:r w:rsidRPr="00287F4F">
        <w:rPr>
          <w:i/>
          <w:iCs/>
          <w:sz w:val="24"/>
        </w:rPr>
        <w:t>Meteorological Applications</w:t>
      </w:r>
      <w:r w:rsidRPr="00287F4F">
        <w:rPr>
          <w:sz w:val="24"/>
        </w:rPr>
        <w:t xml:space="preserve">, </w:t>
      </w:r>
      <w:r w:rsidRPr="00287F4F">
        <w:rPr>
          <w:b/>
          <w:bCs/>
          <w:sz w:val="24"/>
        </w:rPr>
        <w:t>7</w:t>
      </w:r>
      <w:r w:rsidRPr="00287F4F">
        <w:rPr>
          <w:sz w:val="24"/>
        </w:rPr>
        <w:t>, 135–144, https://doi.org/10.1017/S1350482700001468.</w:t>
      </w:r>
    </w:p>
    <w:p w14:paraId="19A4CDE8" w14:textId="77777777" w:rsidR="00287F4F" w:rsidRPr="00287F4F" w:rsidRDefault="00287F4F" w:rsidP="00287F4F">
      <w:pPr>
        <w:pStyle w:val="Bibliography"/>
        <w:rPr>
          <w:sz w:val="24"/>
        </w:rPr>
      </w:pPr>
      <w:r w:rsidRPr="00287F4F">
        <w:rPr>
          <w:sz w:val="24"/>
        </w:rPr>
        <w:lastRenderedPageBreak/>
        <w:t xml:space="preserve">Heymsfield, A. J., and J. L. Parrish, 1978: A Computational Technique for Increasing the Effective Sampling Volume of the PMS Two-Dimensional Particle Size Spectrometer. </w:t>
      </w:r>
      <w:r w:rsidRPr="00287F4F">
        <w:rPr>
          <w:i/>
          <w:iCs/>
          <w:sz w:val="24"/>
        </w:rPr>
        <w:t>Journal of Applied Meteorology and Climatology</w:t>
      </w:r>
      <w:r w:rsidRPr="00287F4F">
        <w:rPr>
          <w:sz w:val="24"/>
        </w:rPr>
        <w:t xml:space="preserve">, </w:t>
      </w:r>
      <w:r w:rsidRPr="00287F4F">
        <w:rPr>
          <w:b/>
          <w:bCs/>
          <w:sz w:val="24"/>
        </w:rPr>
        <w:t>17</w:t>
      </w:r>
      <w:r w:rsidRPr="00287F4F">
        <w:rPr>
          <w:sz w:val="24"/>
        </w:rPr>
        <w:t>, 1566–1572, https://doi.org/10.1175/1520-0450(1978)017&lt;</w:t>
      </w:r>
      <w:proofErr w:type="gramStart"/>
      <w:r w:rsidRPr="00287F4F">
        <w:rPr>
          <w:sz w:val="24"/>
        </w:rPr>
        <w:t>1566:ACTFIT</w:t>
      </w:r>
      <w:proofErr w:type="gramEnd"/>
      <w:r w:rsidRPr="00287F4F">
        <w:rPr>
          <w:sz w:val="24"/>
        </w:rPr>
        <w:t>&gt;2.0.CO;2.</w:t>
      </w:r>
    </w:p>
    <w:p w14:paraId="627BEDD5" w14:textId="77777777" w:rsidR="00287F4F" w:rsidRPr="00287F4F" w:rsidRDefault="00287F4F" w:rsidP="00287F4F">
      <w:pPr>
        <w:pStyle w:val="Bibliography"/>
        <w:rPr>
          <w:sz w:val="24"/>
        </w:rPr>
      </w:pPr>
      <w:r w:rsidRPr="00287F4F">
        <w:rPr>
          <w:sz w:val="24"/>
        </w:rPr>
        <w:t xml:space="preserve">——, A. </w:t>
      </w:r>
      <w:proofErr w:type="spellStart"/>
      <w:r w:rsidRPr="00287F4F">
        <w:rPr>
          <w:sz w:val="24"/>
        </w:rPr>
        <w:t>Bansemer</w:t>
      </w:r>
      <w:proofErr w:type="spellEnd"/>
      <w:r w:rsidRPr="00287F4F">
        <w:rPr>
          <w:sz w:val="24"/>
        </w:rPr>
        <w:t xml:space="preserve">, P. R. Field, S. L. Durden, J. L. Stith, J. E. Dye, W. Hall, and C. A. Grainger, 2002: Observations and Parameterizations of Particle Size Distributions in Deep Tropical Cirrus and Stratiform Precipitating Clouds: Results from In Situ Observations in TRMM Field Campaigns. </w:t>
      </w:r>
      <w:r w:rsidRPr="00287F4F">
        <w:rPr>
          <w:i/>
          <w:iCs/>
          <w:sz w:val="24"/>
        </w:rPr>
        <w:t>Journal of the Atmospheric Sciences</w:t>
      </w:r>
      <w:r w:rsidRPr="00287F4F">
        <w:rPr>
          <w:sz w:val="24"/>
        </w:rPr>
        <w:t xml:space="preserve">, </w:t>
      </w:r>
      <w:r w:rsidRPr="00287F4F">
        <w:rPr>
          <w:b/>
          <w:bCs/>
          <w:sz w:val="24"/>
        </w:rPr>
        <w:t>59</w:t>
      </w:r>
      <w:r w:rsidRPr="00287F4F">
        <w:rPr>
          <w:sz w:val="24"/>
        </w:rPr>
        <w:t>, 3457–3491, https://doi.org/10.1175/1520-0469(2002)059&lt;</w:t>
      </w:r>
      <w:proofErr w:type="gramStart"/>
      <w:r w:rsidRPr="00287F4F">
        <w:rPr>
          <w:sz w:val="24"/>
        </w:rPr>
        <w:t>3457:OAPOPS</w:t>
      </w:r>
      <w:proofErr w:type="gramEnd"/>
      <w:r w:rsidRPr="00287F4F">
        <w:rPr>
          <w:sz w:val="24"/>
        </w:rPr>
        <w:t>&gt;2.0.CO;2.</w:t>
      </w:r>
    </w:p>
    <w:p w14:paraId="475FF931" w14:textId="77777777" w:rsidR="00287F4F" w:rsidRPr="00287F4F" w:rsidRDefault="00287F4F" w:rsidP="00287F4F">
      <w:pPr>
        <w:pStyle w:val="Bibliography"/>
        <w:rPr>
          <w:sz w:val="24"/>
        </w:rPr>
      </w:pPr>
      <w:r w:rsidRPr="00287F4F">
        <w:rPr>
          <w:sz w:val="24"/>
        </w:rPr>
        <w:t xml:space="preserve">——, ——, M. R. </w:t>
      </w:r>
      <w:proofErr w:type="spellStart"/>
      <w:r w:rsidRPr="00287F4F">
        <w:rPr>
          <w:sz w:val="24"/>
        </w:rPr>
        <w:t>Poellot</w:t>
      </w:r>
      <w:proofErr w:type="spellEnd"/>
      <w:r w:rsidRPr="00287F4F">
        <w:rPr>
          <w:sz w:val="24"/>
        </w:rPr>
        <w:t xml:space="preserve">, and N. Wood, 2015: Observations of Ice Microphysics through the Melting Layer. </w:t>
      </w:r>
      <w:r w:rsidRPr="00287F4F">
        <w:rPr>
          <w:i/>
          <w:iCs/>
          <w:sz w:val="24"/>
        </w:rPr>
        <w:t>Journal of the Atmospheric Sciences</w:t>
      </w:r>
      <w:r w:rsidRPr="00287F4F">
        <w:rPr>
          <w:sz w:val="24"/>
        </w:rPr>
        <w:t xml:space="preserve">, </w:t>
      </w:r>
      <w:r w:rsidRPr="00287F4F">
        <w:rPr>
          <w:b/>
          <w:bCs/>
          <w:sz w:val="24"/>
        </w:rPr>
        <w:t>72</w:t>
      </w:r>
      <w:r w:rsidRPr="00287F4F">
        <w:rPr>
          <w:sz w:val="24"/>
        </w:rPr>
        <w:t>, 2902–2928, https://doi.org/10.1175/JAS-D-14-0363.1.</w:t>
      </w:r>
    </w:p>
    <w:p w14:paraId="47E7AD75" w14:textId="77777777" w:rsidR="00287F4F" w:rsidRPr="00287F4F" w:rsidRDefault="00287F4F" w:rsidP="00287F4F">
      <w:pPr>
        <w:pStyle w:val="Bibliography"/>
        <w:rPr>
          <w:sz w:val="24"/>
        </w:rPr>
      </w:pPr>
      <w:r w:rsidRPr="00287F4F">
        <w:rPr>
          <w:sz w:val="24"/>
        </w:rPr>
        <w:t xml:space="preserve">——, ——, A. Theis, and C. Schmitt, 2021: Survival of Snow in the Melting Layer: Relative Humidity Influence. </w:t>
      </w:r>
      <w:r w:rsidRPr="00287F4F">
        <w:rPr>
          <w:i/>
          <w:iCs/>
          <w:sz w:val="24"/>
        </w:rPr>
        <w:t>Journal of the Atmospheric Sciences</w:t>
      </w:r>
      <w:r w:rsidRPr="00287F4F">
        <w:rPr>
          <w:sz w:val="24"/>
        </w:rPr>
        <w:t>, https://doi.org/10.1175/JAS-D-20-0353.1.</w:t>
      </w:r>
    </w:p>
    <w:p w14:paraId="1DF6477C" w14:textId="77777777" w:rsidR="00287F4F" w:rsidRPr="00287F4F" w:rsidRDefault="00287F4F" w:rsidP="00287F4F">
      <w:pPr>
        <w:pStyle w:val="Bibliography"/>
        <w:rPr>
          <w:sz w:val="24"/>
        </w:rPr>
      </w:pPr>
      <w:proofErr w:type="spellStart"/>
      <w:r w:rsidRPr="00287F4F">
        <w:rPr>
          <w:sz w:val="24"/>
        </w:rPr>
        <w:t>Igel</w:t>
      </w:r>
      <w:proofErr w:type="spellEnd"/>
      <w:r w:rsidRPr="00287F4F">
        <w:rPr>
          <w:sz w:val="24"/>
        </w:rPr>
        <w:t xml:space="preserve">, A. L., and S. C. van den Heever, 2014: The role of latent heating in warm frontogenesis: The Role of Latent Heating in Warm Frontogenesis. </w:t>
      </w:r>
      <w:r w:rsidRPr="00287F4F">
        <w:rPr>
          <w:i/>
          <w:iCs/>
          <w:sz w:val="24"/>
        </w:rPr>
        <w:t xml:space="preserve">Q.J.R. </w:t>
      </w:r>
      <w:proofErr w:type="spellStart"/>
      <w:r w:rsidRPr="00287F4F">
        <w:rPr>
          <w:i/>
          <w:iCs/>
          <w:sz w:val="24"/>
        </w:rPr>
        <w:t>Meteorol</w:t>
      </w:r>
      <w:proofErr w:type="spellEnd"/>
      <w:r w:rsidRPr="00287F4F">
        <w:rPr>
          <w:i/>
          <w:iCs/>
          <w:sz w:val="24"/>
        </w:rPr>
        <w:t>. Soc.</w:t>
      </w:r>
      <w:r w:rsidRPr="00287F4F">
        <w:rPr>
          <w:sz w:val="24"/>
        </w:rPr>
        <w:t xml:space="preserve">, </w:t>
      </w:r>
      <w:r w:rsidRPr="00287F4F">
        <w:rPr>
          <w:b/>
          <w:bCs/>
          <w:sz w:val="24"/>
        </w:rPr>
        <w:t>140</w:t>
      </w:r>
      <w:r w:rsidRPr="00287F4F">
        <w:rPr>
          <w:sz w:val="24"/>
        </w:rPr>
        <w:t>, 139–150, https://doi.org/10.1002/qj.2118.</w:t>
      </w:r>
    </w:p>
    <w:p w14:paraId="0C211BB1" w14:textId="77777777" w:rsidR="00287F4F" w:rsidRPr="00287F4F" w:rsidRDefault="00287F4F" w:rsidP="00287F4F">
      <w:pPr>
        <w:pStyle w:val="Bibliography"/>
        <w:rPr>
          <w:sz w:val="24"/>
        </w:rPr>
      </w:pPr>
      <w:r w:rsidRPr="00287F4F">
        <w:rPr>
          <w:sz w:val="24"/>
        </w:rPr>
        <w:t xml:space="preserve">Iversen, E. C., G. Thompson, and B. E. Nygaard, 2021: Improvements to melting snow behavior in a bulk microphysics scheme. </w:t>
      </w:r>
      <w:r w:rsidRPr="00287F4F">
        <w:rPr>
          <w:i/>
          <w:iCs/>
          <w:sz w:val="24"/>
        </w:rPr>
        <w:t>Atmospheric Research</w:t>
      </w:r>
      <w:r w:rsidRPr="00287F4F">
        <w:rPr>
          <w:sz w:val="24"/>
        </w:rPr>
        <w:t xml:space="preserve">, </w:t>
      </w:r>
      <w:r w:rsidRPr="00287F4F">
        <w:rPr>
          <w:b/>
          <w:bCs/>
          <w:sz w:val="24"/>
        </w:rPr>
        <w:t>253</w:t>
      </w:r>
      <w:r w:rsidRPr="00287F4F">
        <w:rPr>
          <w:sz w:val="24"/>
        </w:rPr>
        <w:t>, 105471, https://doi.org/10.1016/j.atmosres.2021.105471.</w:t>
      </w:r>
    </w:p>
    <w:p w14:paraId="6D301F41" w14:textId="77777777" w:rsidR="00287F4F" w:rsidRPr="00287F4F" w:rsidRDefault="00287F4F" w:rsidP="00287F4F">
      <w:pPr>
        <w:pStyle w:val="Bibliography"/>
        <w:rPr>
          <w:sz w:val="24"/>
        </w:rPr>
      </w:pPr>
      <w:proofErr w:type="spellStart"/>
      <w:r w:rsidRPr="00287F4F">
        <w:rPr>
          <w:sz w:val="24"/>
        </w:rPr>
        <w:t>Joos</w:t>
      </w:r>
      <w:proofErr w:type="spellEnd"/>
      <w:r w:rsidRPr="00287F4F">
        <w:rPr>
          <w:sz w:val="24"/>
        </w:rPr>
        <w:t xml:space="preserve">, H., and H. </w:t>
      </w:r>
      <w:proofErr w:type="spellStart"/>
      <w:r w:rsidRPr="00287F4F">
        <w:rPr>
          <w:sz w:val="24"/>
        </w:rPr>
        <w:t>Wernli</w:t>
      </w:r>
      <w:proofErr w:type="spellEnd"/>
      <w:r w:rsidRPr="00287F4F">
        <w:rPr>
          <w:sz w:val="24"/>
        </w:rPr>
        <w:t xml:space="preserve">, 2012: Influence of microphysical processes on the potential vorticity development in a warm conveyor belt: a case-study with the limited-area model COSMO. </w:t>
      </w:r>
      <w:r w:rsidRPr="00287F4F">
        <w:rPr>
          <w:i/>
          <w:iCs/>
          <w:sz w:val="24"/>
        </w:rPr>
        <w:t>Quarterly Journal of the Royal Meteorological Society</w:t>
      </w:r>
      <w:r w:rsidRPr="00287F4F">
        <w:rPr>
          <w:sz w:val="24"/>
        </w:rPr>
        <w:t xml:space="preserve">, </w:t>
      </w:r>
      <w:r w:rsidRPr="00287F4F">
        <w:rPr>
          <w:b/>
          <w:bCs/>
          <w:sz w:val="24"/>
        </w:rPr>
        <w:t>138</w:t>
      </w:r>
      <w:r w:rsidRPr="00287F4F">
        <w:rPr>
          <w:sz w:val="24"/>
        </w:rPr>
        <w:t>, 407–418, https://doi.org/10.1002/qj.934.</w:t>
      </w:r>
    </w:p>
    <w:p w14:paraId="6A2BE52A" w14:textId="77777777" w:rsidR="00287F4F" w:rsidRPr="00287F4F" w:rsidRDefault="00287F4F" w:rsidP="00287F4F">
      <w:pPr>
        <w:pStyle w:val="Bibliography"/>
        <w:rPr>
          <w:sz w:val="24"/>
        </w:rPr>
      </w:pPr>
      <w:r w:rsidRPr="00287F4F">
        <w:rPr>
          <w:sz w:val="24"/>
        </w:rPr>
        <w:t xml:space="preserve">Kain, J. S., S. M. Goss, and M. E. Baldwin, 2000: The Melting Effect as a Factor in Precipitation-Type Forecasting. </w:t>
      </w:r>
      <w:r w:rsidRPr="00287F4F">
        <w:rPr>
          <w:i/>
          <w:iCs/>
          <w:sz w:val="24"/>
        </w:rPr>
        <w:t>Weather and Forecasting</w:t>
      </w:r>
      <w:r w:rsidRPr="00287F4F">
        <w:rPr>
          <w:sz w:val="24"/>
        </w:rPr>
        <w:t xml:space="preserve">, </w:t>
      </w:r>
      <w:r w:rsidRPr="00287F4F">
        <w:rPr>
          <w:b/>
          <w:bCs/>
          <w:sz w:val="24"/>
        </w:rPr>
        <w:t>15</w:t>
      </w:r>
      <w:r w:rsidRPr="00287F4F">
        <w:rPr>
          <w:sz w:val="24"/>
        </w:rPr>
        <w:t>, 700–714, https://doi.org/10.1175/1520-0434(2000)015&lt;</w:t>
      </w:r>
      <w:proofErr w:type="gramStart"/>
      <w:r w:rsidRPr="00287F4F">
        <w:rPr>
          <w:sz w:val="24"/>
        </w:rPr>
        <w:t>0700:TMEAAF</w:t>
      </w:r>
      <w:proofErr w:type="gramEnd"/>
      <w:r w:rsidRPr="00287F4F">
        <w:rPr>
          <w:sz w:val="24"/>
        </w:rPr>
        <w:t>&gt;2.0.CO;2.</w:t>
      </w:r>
    </w:p>
    <w:p w14:paraId="31037378" w14:textId="77777777" w:rsidR="00287F4F" w:rsidRPr="00287F4F" w:rsidRDefault="00287F4F" w:rsidP="00287F4F">
      <w:pPr>
        <w:pStyle w:val="Bibliography"/>
        <w:rPr>
          <w:sz w:val="24"/>
        </w:rPr>
      </w:pPr>
      <w:proofErr w:type="spellStart"/>
      <w:r w:rsidRPr="00287F4F">
        <w:rPr>
          <w:sz w:val="24"/>
        </w:rPr>
        <w:t>Khain</w:t>
      </w:r>
      <w:proofErr w:type="spellEnd"/>
      <w:r w:rsidRPr="00287F4F">
        <w:rPr>
          <w:sz w:val="24"/>
        </w:rPr>
        <w:t xml:space="preserve">, A., M. </w:t>
      </w:r>
      <w:proofErr w:type="spellStart"/>
      <w:r w:rsidRPr="00287F4F">
        <w:rPr>
          <w:sz w:val="24"/>
        </w:rPr>
        <w:t>Ovtchinnikov</w:t>
      </w:r>
      <w:proofErr w:type="spellEnd"/>
      <w:r w:rsidRPr="00287F4F">
        <w:rPr>
          <w:sz w:val="24"/>
        </w:rPr>
        <w:t xml:space="preserve">, M. Pinsky, A. </w:t>
      </w:r>
      <w:proofErr w:type="spellStart"/>
      <w:r w:rsidRPr="00287F4F">
        <w:rPr>
          <w:sz w:val="24"/>
        </w:rPr>
        <w:t>Pokrovsky</w:t>
      </w:r>
      <w:proofErr w:type="spellEnd"/>
      <w:r w:rsidRPr="00287F4F">
        <w:rPr>
          <w:sz w:val="24"/>
        </w:rPr>
        <w:t xml:space="preserve">, and H. </w:t>
      </w:r>
      <w:proofErr w:type="spellStart"/>
      <w:r w:rsidRPr="00287F4F">
        <w:rPr>
          <w:sz w:val="24"/>
        </w:rPr>
        <w:t>Krugliak</w:t>
      </w:r>
      <w:proofErr w:type="spellEnd"/>
      <w:r w:rsidRPr="00287F4F">
        <w:rPr>
          <w:sz w:val="24"/>
        </w:rPr>
        <w:t xml:space="preserve">, 2000: Notes on the state-of-the-art numerical modeling of cloud microphysics. </w:t>
      </w:r>
      <w:r w:rsidRPr="00287F4F">
        <w:rPr>
          <w:i/>
          <w:iCs/>
          <w:sz w:val="24"/>
        </w:rPr>
        <w:t>Atmospheric Research</w:t>
      </w:r>
      <w:r w:rsidRPr="00287F4F">
        <w:rPr>
          <w:sz w:val="24"/>
        </w:rPr>
        <w:t xml:space="preserve">, </w:t>
      </w:r>
      <w:r w:rsidRPr="00287F4F">
        <w:rPr>
          <w:b/>
          <w:bCs/>
          <w:sz w:val="24"/>
        </w:rPr>
        <w:t>55</w:t>
      </w:r>
      <w:r w:rsidRPr="00287F4F">
        <w:rPr>
          <w:sz w:val="24"/>
        </w:rPr>
        <w:t>, 159–224, https://doi.org/10.1016/S0169-8095(00)00064-8.</w:t>
      </w:r>
    </w:p>
    <w:p w14:paraId="6C719C0E" w14:textId="77777777" w:rsidR="00287F4F" w:rsidRPr="00287F4F" w:rsidRDefault="00287F4F" w:rsidP="00287F4F">
      <w:pPr>
        <w:pStyle w:val="Bibliography"/>
        <w:rPr>
          <w:sz w:val="24"/>
        </w:rPr>
      </w:pPr>
      <w:r w:rsidRPr="00287F4F">
        <w:rPr>
          <w:sz w:val="24"/>
        </w:rPr>
        <w:t xml:space="preserve">King, W. D., D. A. Parkin, and R. J. Handsworth, 1978: A Hot-Wire Liquid Water Device Having Fully Calculable Response Characteristics. </w:t>
      </w:r>
      <w:r w:rsidRPr="00287F4F">
        <w:rPr>
          <w:i/>
          <w:iCs/>
          <w:sz w:val="24"/>
        </w:rPr>
        <w:t>Journal of Applied Meteorology</w:t>
      </w:r>
      <w:r w:rsidRPr="00287F4F">
        <w:rPr>
          <w:sz w:val="24"/>
        </w:rPr>
        <w:t xml:space="preserve">, </w:t>
      </w:r>
      <w:r w:rsidRPr="00287F4F">
        <w:rPr>
          <w:b/>
          <w:bCs/>
          <w:sz w:val="24"/>
        </w:rPr>
        <w:t>17</w:t>
      </w:r>
      <w:r w:rsidRPr="00287F4F">
        <w:rPr>
          <w:sz w:val="24"/>
        </w:rPr>
        <w:t>, 1809–1813, https://doi.org/10.1175/1520-0450(1978)017&lt;</w:t>
      </w:r>
      <w:proofErr w:type="gramStart"/>
      <w:r w:rsidRPr="00287F4F">
        <w:rPr>
          <w:sz w:val="24"/>
        </w:rPr>
        <w:t>1809:AHWLWD</w:t>
      </w:r>
      <w:proofErr w:type="gramEnd"/>
      <w:r w:rsidRPr="00287F4F">
        <w:rPr>
          <w:sz w:val="24"/>
        </w:rPr>
        <w:t>&gt;2.0.CO;2.</w:t>
      </w:r>
    </w:p>
    <w:p w14:paraId="5D7CC0A4" w14:textId="77777777" w:rsidR="00287F4F" w:rsidRPr="00287F4F" w:rsidRDefault="00287F4F" w:rsidP="00287F4F">
      <w:pPr>
        <w:pStyle w:val="Bibliography"/>
        <w:rPr>
          <w:sz w:val="24"/>
        </w:rPr>
      </w:pPr>
      <w:proofErr w:type="spellStart"/>
      <w:r w:rsidRPr="00287F4F">
        <w:rPr>
          <w:sz w:val="24"/>
        </w:rPr>
        <w:t>Klaassen</w:t>
      </w:r>
      <w:proofErr w:type="spellEnd"/>
      <w:r w:rsidRPr="00287F4F">
        <w:rPr>
          <w:sz w:val="24"/>
        </w:rPr>
        <w:t xml:space="preserve">, W., 1988: Radar Observations and Simulation of the Melting Layer of Precipitation. </w:t>
      </w:r>
      <w:r w:rsidRPr="00287F4F">
        <w:rPr>
          <w:i/>
          <w:iCs/>
          <w:sz w:val="24"/>
        </w:rPr>
        <w:t>J. Atmos. Sci.</w:t>
      </w:r>
      <w:r w:rsidRPr="00287F4F">
        <w:rPr>
          <w:sz w:val="24"/>
        </w:rPr>
        <w:t xml:space="preserve">, </w:t>
      </w:r>
      <w:r w:rsidRPr="00287F4F">
        <w:rPr>
          <w:b/>
          <w:bCs/>
          <w:sz w:val="24"/>
        </w:rPr>
        <w:t>45</w:t>
      </w:r>
      <w:r w:rsidRPr="00287F4F">
        <w:rPr>
          <w:sz w:val="24"/>
        </w:rPr>
        <w:t>, 3741–3753, https://doi.org/10.1175/1520-0469(1988)045&lt;</w:t>
      </w:r>
      <w:proofErr w:type="gramStart"/>
      <w:r w:rsidRPr="00287F4F">
        <w:rPr>
          <w:sz w:val="24"/>
        </w:rPr>
        <w:t>3741:ROASOT</w:t>
      </w:r>
      <w:proofErr w:type="gramEnd"/>
      <w:r w:rsidRPr="00287F4F">
        <w:rPr>
          <w:sz w:val="24"/>
        </w:rPr>
        <w:t>&gt;2.0.CO;2.</w:t>
      </w:r>
    </w:p>
    <w:p w14:paraId="15F741A7" w14:textId="77777777" w:rsidR="00287F4F" w:rsidRPr="00287F4F" w:rsidRDefault="00287F4F" w:rsidP="00287F4F">
      <w:pPr>
        <w:pStyle w:val="Bibliography"/>
        <w:rPr>
          <w:sz w:val="24"/>
        </w:rPr>
      </w:pPr>
      <w:r w:rsidRPr="00287F4F">
        <w:rPr>
          <w:sz w:val="24"/>
        </w:rPr>
        <w:t xml:space="preserve">Knight, C. A., 1979: Observations of the Morphology of Melting Snow. </w:t>
      </w:r>
      <w:r w:rsidRPr="00287F4F">
        <w:rPr>
          <w:i/>
          <w:iCs/>
          <w:sz w:val="24"/>
        </w:rPr>
        <w:t>Journal of the Atmospheric Sciences</w:t>
      </w:r>
      <w:r w:rsidRPr="00287F4F">
        <w:rPr>
          <w:sz w:val="24"/>
        </w:rPr>
        <w:t xml:space="preserve">, </w:t>
      </w:r>
      <w:r w:rsidRPr="00287F4F">
        <w:rPr>
          <w:b/>
          <w:bCs/>
          <w:sz w:val="24"/>
        </w:rPr>
        <w:t>36</w:t>
      </w:r>
      <w:r w:rsidRPr="00287F4F">
        <w:rPr>
          <w:sz w:val="24"/>
        </w:rPr>
        <w:t>, 1123–1130, https://doi.org/10.1175/1520-0469(1979)036&lt;</w:t>
      </w:r>
      <w:proofErr w:type="gramStart"/>
      <w:r w:rsidRPr="00287F4F">
        <w:rPr>
          <w:sz w:val="24"/>
        </w:rPr>
        <w:t>1123:OOTMOM</w:t>
      </w:r>
      <w:proofErr w:type="gramEnd"/>
      <w:r w:rsidRPr="00287F4F">
        <w:rPr>
          <w:sz w:val="24"/>
        </w:rPr>
        <w:t>&gt;2.0.CO;2.</w:t>
      </w:r>
    </w:p>
    <w:p w14:paraId="499E50A0" w14:textId="77777777" w:rsidR="00287F4F" w:rsidRPr="00287F4F" w:rsidRDefault="00287F4F" w:rsidP="00287F4F">
      <w:pPr>
        <w:pStyle w:val="Bibliography"/>
        <w:rPr>
          <w:sz w:val="24"/>
        </w:rPr>
      </w:pPr>
      <w:r w:rsidRPr="00287F4F">
        <w:rPr>
          <w:sz w:val="24"/>
        </w:rPr>
        <w:t xml:space="preserve">Knollenberg, R. G., 1981: TECHNIQUES FOR PROBING CLOUD MICROSTRUCTURE. </w:t>
      </w:r>
      <w:r w:rsidRPr="00287F4F">
        <w:rPr>
          <w:i/>
          <w:iCs/>
          <w:sz w:val="24"/>
        </w:rPr>
        <w:t>Clouds their Formation, Optical Properties, and Effects</w:t>
      </w:r>
      <w:r w:rsidRPr="00287F4F">
        <w:rPr>
          <w:sz w:val="24"/>
        </w:rPr>
        <w:t>, P.V. Hobbs and A. Deepak, Eds., Academic Press, 15–91.</w:t>
      </w:r>
    </w:p>
    <w:p w14:paraId="5987E35D" w14:textId="77777777" w:rsidR="00287F4F" w:rsidRPr="00287F4F" w:rsidRDefault="00287F4F" w:rsidP="00287F4F">
      <w:pPr>
        <w:pStyle w:val="Bibliography"/>
        <w:rPr>
          <w:sz w:val="24"/>
        </w:rPr>
      </w:pPr>
      <w:r w:rsidRPr="00287F4F">
        <w:rPr>
          <w:sz w:val="24"/>
        </w:rPr>
        <w:t xml:space="preserve">Korolev, A., 2007: Reconstruction of the Sizes of Spherical Particles from Their Shadow Images. Part I: Theoretical Considerations. </w:t>
      </w:r>
      <w:r w:rsidRPr="00287F4F">
        <w:rPr>
          <w:i/>
          <w:iCs/>
          <w:sz w:val="24"/>
        </w:rPr>
        <w:t>Journal of Atmospheric and Oceanic Technology</w:t>
      </w:r>
      <w:r w:rsidRPr="00287F4F">
        <w:rPr>
          <w:sz w:val="24"/>
        </w:rPr>
        <w:t xml:space="preserve">, </w:t>
      </w:r>
      <w:r w:rsidRPr="00287F4F">
        <w:rPr>
          <w:b/>
          <w:bCs/>
          <w:sz w:val="24"/>
        </w:rPr>
        <w:t>24</w:t>
      </w:r>
      <w:r w:rsidRPr="00287F4F">
        <w:rPr>
          <w:sz w:val="24"/>
        </w:rPr>
        <w:t>, 376–389, https://doi.org/10.1175/JTECH1980.1.</w:t>
      </w:r>
    </w:p>
    <w:p w14:paraId="4D2A4D70" w14:textId="77777777" w:rsidR="00287F4F" w:rsidRPr="00287F4F" w:rsidRDefault="00287F4F" w:rsidP="00287F4F">
      <w:pPr>
        <w:pStyle w:val="Bibliography"/>
        <w:rPr>
          <w:sz w:val="24"/>
        </w:rPr>
      </w:pPr>
      <w:r w:rsidRPr="00287F4F">
        <w:rPr>
          <w:sz w:val="24"/>
        </w:rPr>
        <w:lastRenderedPageBreak/>
        <w:t xml:space="preserve">Korolev, A. V., J. W. </w:t>
      </w:r>
      <w:proofErr w:type="spellStart"/>
      <w:r w:rsidRPr="00287F4F">
        <w:rPr>
          <w:sz w:val="24"/>
        </w:rPr>
        <w:t>Strapp</w:t>
      </w:r>
      <w:proofErr w:type="spellEnd"/>
      <w:r w:rsidRPr="00287F4F">
        <w:rPr>
          <w:sz w:val="24"/>
        </w:rPr>
        <w:t xml:space="preserve">, G. A. Isaac, and A. N. </w:t>
      </w:r>
      <w:proofErr w:type="spellStart"/>
      <w:r w:rsidRPr="00287F4F">
        <w:rPr>
          <w:sz w:val="24"/>
        </w:rPr>
        <w:t>Nevzorov</w:t>
      </w:r>
      <w:proofErr w:type="spellEnd"/>
      <w:r w:rsidRPr="00287F4F">
        <w:rPr>
          <w:sz w:val="24"/>
        </w:rPr>
        <w:t xml:space="preserve">, 1998: The </w:t>
      </w:r>
      <w:proofErr w:type="spellStart"/>
      <w:r w:rsidRPr="00287F4F">
        <w:rPr>
          <w:sz w:val="24"/>
        </w:rPr>
        <w:t>Nevzorov</w:t>
      </w:r>
      <w:proofErr w:type="spellEnd"/>
      <w:r w:rsidRPr="00287F4F">
        <w:rPr>
          <w:sz w:val="24"/>
        </w:rPr>
        <w:t xml:space="preserve"> Airborne Hot-Wire LWC–TWC Probe: Principle of Operation and Performance Characteristics. </w:t>
      </w:r>
      <w:r w:rsidRPr="00287F4F">
        <w:rPr>
          <w:i/>
          <w:iCs/>
          <w:sz w:val="24"/>
        </w:rPr>
        <w:t>Journal of Atmospheric and Oceanic Technology</w:t>
      </w:r>
      <w:r w:rsidRPr="00287F4F">
        <w:rPr>
          <w:sz w:val="24"/>
        </w:rPr>
        <w:t xml:space="preserve">, </w:t>
      </w:r>
      <w:r w:rsidRPr="00287F4F">
        <w:rPr>
          <w:b/>
          <w:bCs/>
          <w:sz w:val="24"/>
        </w:rPr>
        <w:t>15</w:t>
      </w:r>
      <w:r w:rsidRPr="00287F4F">
        <w:rPr>
          <w:sz w:val="24"/>
        </w:rPr>
        <w:t>, 1495–1510, https://doi.org/10.1175/1520-0426(1998)015&lt;</w:t>
      </w:r>
      <w:proofErr w:type="gramStart"/>
      <w:r w:rsidRPr="00287F4F">
        <w:rPr>
          <w:sz w:val="24"/>
        </w:rPr>
        <w:t>1495:TNAHWL</w:t>
      </w:r>
      <w:proofErr w:type="gramEnd"/>
      <w:r w:rsidRPr="00287F4F">
        <w:rPr>
          <w:sz w:val="24"/>
        </w:rPr>
        <w:t>&gt;2.0.CO;2.</w:t>
      </w:r>
    </w:p>
    <w:p w14:paraId="6AE995AE" w14:textId="77777777" w:rsidR="00287F4F" w:rsidRPr="00287F4F" w:rsidRDefault="00287F4F" w:rsidP="00287F4F">
      <w:pPr>
        <w:pStyle w:val="Bibliography"/>
        <w:rPr>
          <w:sz w:val="24"/>
        </w:rPr>
      </w:pPr>
      <w:proofErr w:type="spellStart"/>
      <w:r w:rsidRPr="00287F4F">
        <w:rPr>
          <w:sz w:val="24"/>
        </w:rPr>
        <w:t>Kumjian</w:t>
      </w:r>
      <w:proofErr w:type="spellEnd"/>
      <w:r w:rsidRPr="00287F4F">
        <w:rPr>
          <w:sz w:val="24"/>
        </w:rPr>
        <w:t xml:space="preserve">, M. R., S. Mishra, S. E. </w:t>
      </w:r>
      <w:proofErr w:type="spellStart"/>
      <w:r w:rsidRPr="00287F4F">
        <w:rPr>
          <w:sz w:val="24"/>
        </w:rPr>
        <w:t>Giangrande</w:t>
      </w:r>
      <w:proofErr w:type="spellEnd"/>
      <w:r w:rsidRPr="00287F4F">
        <w:rPr>
          <w:sz w:val="24"/>
        </w:rPr>
        <w:t xml:space="preserve">, T. Toto, A. V. </w:t>
      </w:r>
      <w:proofErr w:type="spellStart"/>
      <w:r w:rsidRPr="00287F4F">
        <w:rPr>
          <w:sz w:val="24"/>
        </w:rPr>
        <w:t>Ryzhkov</w:t>
      </w:r>
      <w:proofErr w:type="spellEnd"/>
      <w:r w:rsidRPr="00287F4F">
        <w:rPr>
          <w:sz w:val="24"/>
        </w:rPr>
        <w:t xml:space="preserve">, and A. </w:t>
      </w:r>
      <w:proofErr w:type="spellStart"/>
      <w:r w:rsidRPr="00287F4F">
        <w:rPr>
          <w:sz w:val="24"/>
        </w:rPr>
        <w:t>Bansemer</w:t>
      </w:r>
      <w:proofErr w:type="spellEnd"/>
      <w:r w:rsidRPr="00287F4F">
        <w:rPr>
          <w:sz w:val="24"/>
        </w:rPr>
        <w:t xml:space="preserve">, 2016: Polarimetric radar and aircraft observations of saggy bright bands during MC3E. </w:t>
      </w:r>
      <w:r w:rsidRPr="00287F4F">
        <w:rPr>
          <w:i/>
          <w:iCs/>
          <w:sz w:val="24"/>
        </w:rPr>
        <w:t>Journal of Geophysical Research: Atmospheres</w:t>
      </w:r>
      <w:r w:rsidRPr="00287F4F">
        <w:rPr>
          <w:sz w:val="24"/>
        </w:rPr>
        <w:t xml:space="preserve">, </w:t>
      </w:r>
      <w:r w:rsidRPr="00287F4F">
        <w:rPr>
          <w:b/>
          <w:bCs/>
          <w:sz w:val="24"/>
        </w:rPr>
        <w:t>121</w:t>
      </w:r>
      <w:r w:rsidRPr="00287F4F">
        <w:rPr>
          <w:sz w:val="24"/>
        </w:rPr>
        <w:t>, 3584–3607, https://doi.org/10.1002/2015JD024446.</w:t>
      </w:r>
    </w:p>
    <w:p w14:paraId="1E2025CE" w14:textId="77777777" w:rsidR="00287F4F" w:rsidRPr="00287F4F" w:rsidRDefault="00287F4F" w:rsidP="00287F4F">
      <w:pPr>
        <w:pStyle w:val="Bibliography"/>
        <w:rPr>
          <w:sz w:val="24"/>
        </w:rPr>
      </w:pPr>
      <w:r w:rsidRPr="00287F4F">
        <w:rPr>
          <w:sz w:val="24"/>
        </w:rPr>
        <w:t xml:space="preserve">Lawson, R. P., R. E. Stewart, and L. J. Angus, 1998: Observations and Numerical Simulations of the Origin and Development of Very Large Snowflakes. </w:t>
      </w:r>
      <w:r w:rsidRPr="00287F4F">
        <w:rPr>
          <w:i/>
          <w:iCs/>
          <w:sz w:val="24"/>
        </w:rPr>
        <w:t>Journal of the Atmospheric Sciences</w:t>
      </w:r>
      <w:r w:rsidRPr="00287F4F">
        <w:rPr>
          <w:sz w:val="24"/>
        </w:rPr>
        <w:t xml:space="preserve">, </w:t>
      </w:r>
      <w:r w:rsidRPr="00287F4F">
        <w:rPr>
          <w:b/>
          <w:bCs/>
          <w:sz w:val="24"/>
        </w:rPr>
        <w:t>55</w:t>
      </w:r>
      <w:r w:rsidRPr="00287F4F">
        <w:rPr>
          <w:sz w:val="24"/>
        </w:rPr>
        <w:t>, 3209–3229, https://doi.org/10.1175/1520-0469(1998)055&lt;</w:t>
      </w:r>
      <w:proofErr w:type="gramStart"/>
      <w:r w:rsidRPr="00287F4F">
        <w:rPr>
          <w:sz w:val="24"/>
        </w:rPr>
        <w:t>3209:OANSOT</w:t>
      </w:r>
      <w:proofErr w:type="gramEnd"/>
      <w:r w:rsidRPr="00287F4F">
        <w:rPr>
          <w:sz w:val="24"/>
        </w:rPr>
        <w:t>&gt;2.0.CO;2.</w:t>
      </w:r>
    </w:p>
    <w:p w14:paraId="52571166" w14:textId="77777777" w:rsidR="00287F4F" w:rsidRPr="00287F4F" w:rsidRDefault="00287F4F" w:rsidP="00287F4F">
      <w:pPr>
        <w:pStyle w:val="Bibliography"/>
        <w:rPr>
          <w:sz w:val="24"/>
        </w:rPr>
      </w:pPr>
      <w:r w:rsidRPr="00287F4F">
        <w:rPr>
          <w:sz w:val="24"/>
        </w:rPr>
        <w:t xml:space="preserve">——, D. O’Connor, P. </w:t>
      </w:r>
      <w:proofErr w:type="spellStart"/>
      <w:r w:rsidRPr="00287F4F">
        <w:rPr>
          <w:sz w:val="24"/>
        </w:rPr>
        <w:t>Zmarzly</w:t>
      </w:r>
      <w:proofErr w:type="spellEnd"/>
      <w:r w:rsidRPr="00287F4F">
        <w:rPr>
          <w:sz w:val="24"/>
        </w:rPr>
        <w:t xml:space="preserve">, K. Weaver, B. Baker, Q. Mo, and H. Jonsson, 2006: The 2D-S (Stereo) Probe: Design and Preliminary Tests of a New Airborne, High-Speed, High-Resolution Particle Imaging Probe. </w:t>
      </w:r>
      <w:r w:rsidRPr="00287F4F">
        <w:rPr>
          <w:i/>
          <w:iCs/>
          <w:sz w:val="24"/>
        </w:rPr>
        <w:t>Journal of Atmospheric and Oceanic Technology</w:t>
      </w:r>
      <w:r w:rsidRPr="00287F4F">
        <w:rPr>
          <w:sz w:val="24"/>
        </w:rPr>
        <w:t xml:space="preserve">, </w:t>
      </w:r>
      <w:r w:rsidRPr="00287F4F">
        <w:rPr>
          <w:b/>
          <w:bCs/>
          <w:sz w:val="24"/>
        </w:rPr>
        <w:t>23</w:t>
      </w:r>
      <w:r w:rsidRPr="00287F4F">
        <w:rPr>
          <w:sz w:val="24"/>
        </w:rPr>
        <w:t>, 1462–1477, https://doi.org/10.1175/JTECH1927.1.</w:t>
      </w:r>
    </w:p>
    <w:p w14:paraId="71434D6B" w14:textId="77777777" w:rsidR="00287F4F" w:rsidRPr="00287F4F" w:rsidRDefault="00287F4F" w:rsidP="00287F4F">
      <w:pPr>
        <w:pStyle w:val="Bibliography"/>
        <w:rPr>
          <w:sz w:val="24"/>
        </w:rPr>
      </w:pPr>
      <w:r w:rsidRPr="00287F4F">
        <w:rPr>
          <w:sz w:val="24"/>
        </w:rPr>
        <w:t xml:space="preserve">Leinonen, J., and A. von </w:t>
      </w:r>
      <w:proofErr w:type="spellStart"/>
      <w:r w:rsidRPr="00287F4F">
        <w:rPr>
          <w:sz w:val="24"/>
        </w:rPr>
        <w:t>Lerber</w:t>
      </w:r>
      <w:proofErr w:type="spellEnd"/>
      <w:r w:rsidRPr="00287F4F">
        <w:rPr>
          <w:sz w:val="24"/>
        </w:rPr>
        <w:t xml:space="preserve">, 2018: Snowflake Melting Simulation Using Smoothed Particle Hydrodynamics. </w:t>
      </w:r>
      <w:r w:rsidRPr="00287F4F">
        <w:rPr>
          <w:i/>
          <w:iCs/>
          <w:sz w:val="24"/>
        </w:rPr>
        <w:t>Journal of Geophysical Research: Atmospheres</w:t>
      </w:r>
      <w:r w:rsidRPr="00287F4F">
        <w:rPr>
          <w:sz w:val="24"/>
        </w:rPr>
        <w:t xml:space="preserve">, </w:t>
      </w:r>
      <w:r w:rsidRPr="00287F4F">
        <w:rPr>
          <w:b/>
          <w:bCs/>
          <w:sz w:val="24"/>
        </w:rPr>
        <w:t>123</w:t>
      </w:r>
      <w:r w:rsidRPr="00287F4F">
        <w:rPr>
          <w:sz w:val="24"/>
        </w:rPr>
        <w:t>, 1811–1825, https://doi.org/10.1002/2017JD027909.</w:t>
      </w:r>
    </w:p>
    <w:p w14:paraId="3DFDFA22" w14:textId="77777777" w:rsidR="00287F4F" w:rsidRPr="00287F4F" w:rsidRDefault="00287F4F" w:rsidP="00287F4F">
      <w:pPr>
        <w:pStyle w:val="Bibliography"/>
        <w:rPr>
          <w:sz w:val="24"/>
        </w:rPr>
      </w:pPr>
      <w:r w:rsidRPr="00287F4F">
        <w:rPr>
          <w:sz w:val="24"/>
        </w:rPr>
        <w:t xml:space="preserve">Lin, C. A., and R. E. Stewart, 1986: Mesoscale circulations initiated by melting snow. </w:t>
      </w:r>
      <w:r w:rsidRPr="00287F4F">
        <w:rPr>
          <w:i/>
          <w:iCs/>
          <w:sz w:val="24"/>
        </w:rPr>
        <w:t xml:space="preserve">J. </w:t>
      </w:r>
      <w:proofErr w:type="spellStart"/>
      <w:r w:rsidRPr="00287F4F">
        <w:rPr>
          <w:i/>
          <w:iCs/>
          <w:sz w:val="24"/>
        </w:rPr>
        <w:t>Geophys</w:t>
      </w:r>
      <w:proofErr w:type="spellEnd"/>
      <w:r w:rsidRPr="00287F4F">
        <w:rPr>
          <w:i/>
          <w:iCs/>
          <w:sz w:val="24"/>
        </w:rPr>
        <w:t>. Res.</w:t>
      </w:r>
      <w:r w:rsidRPr="00287F4F">
        <w:rPr>
          <w:sz w:val="24"/>
        </w:rPr>
        <w:t xml:space="preserve">, </w:t>
      </w:r>
      <w:r w:rsidRPr="00287F4F">
        <w:rPr>
          <w:b/>
          <w:bCs/>
          <w:sz w:val="24"/>
        </w:rPr>
        <w:t>91</w:t>
      </w:r>
      <w:r w:rsidRPr="00287F4F">
        <w:rPr>
          <w:sz w:val="24"/>
        </w:rPr>
        <w:t>, 13299, https://doi.org/10.1029/JD091iD12p13299.</w:t>
      </w:r>
    </w:p>
    <w:p w14:paraId="5371B25B" w14:textId="77777777" w:rsidR="00287F4F" w:rsidRPr="00287F4F" w:rsidRDefault="00287F4F" w:rsidP="00287F4F">
      <w:pPr>
        <w:pStyle w:val="Bibliography"/>
        <w:rPr>
          <w:sz w:val="24"/>
        </w:rPr>
      </w:pPr>
      <w:r w:rsidRPr="00287F4F">
        <w:rPr>
          <w:sz w:val="24"/>
        </w:rPr>
        <w:t xml:space="preserve">——, and ——, 1991: </w:t>
      </w:r>
      <w:proofErr w:type="spellStart"/>
      <w:r w:rsidRPr="00287F4F">
        <w:rPr>
          <w:sz w:val="24"/>
        </w:rPr>
        <w:t>Diabatically</w:t>
      </w:r>
      <w:proofErr w:type="spellEnd"/>
      <w:r w:rsidRPr="00287F4F">
        <w:rPr>
          <w:sz w:val="24"/>
        </w:rPr>
        <w:t xml:space="preserve"> Forced Mesoscale Circulations in the Atmosphere. </w:t>
      </w:r>
      <w:r w:rsidRPr="00287F4F">
        <w:rPr>
          <w:i/>
          <w:iCs/>
          <w:sz w:val="24"/>
        </w:rPr>
        <w:t>Advances in Geophysics</w:t>
      </w:r>
      <w:r w:rsidRPr="00287F4F">
        <w:rPr>
          <w:sz w:val="24"/>
        </w:rPr>
        <w:t>, Vol. 33 of, Elsevier, 267–305.</w:t>
      </w:r>
    </w:p>
    <w:p w14:paraId="4BD43C40" w14:textId="77777777" w:rsidR="00287F4F" w:rsidRPr="00287F4F" w:rsidRDefault="00287F4F" w:rsidP="00287F4F">
      <w:pPr>
        <w:pStyle w:val="Bibliography"/>
        <w:rPr>
          <w:sz w:val="24"/>
        </w:rPr>
      </w:pPr>
      <w:r w:rsidRPr="00287F4F">
        <w:rPr>
          <w:sz w:val="24"/>
        </w:rPr>
        <w:t xml:space="preserve">Marshall, J. S., and W. M. K. Palmer, 1948: THE DISTRIBUTION OF RAINDROPS WITH SIZE. </w:t>
      </w:r>
      <w:r w:rsidRPr="00287F4F">
        <w:rPr>
          <w:i/>
          <w:iCs/>
          <w:sz w:val="24"/>
        </w:rPr>
        <w:t>Journal of the Atmospheric Sciences</w:t>
      </w:r>
      <w:r w:rsidRPr="00287F4F">
        <w:rPr>
          <w:sz w:val="24"/>
        </w:rPr>
        <w:t xml:space="preserve">, </w:t>
      </w:r>
      <w:r w:rsidRPr="00287F4F">
        <w:rPr>
          <w:b/>
          <w:bCs/>
          <w:sz w:val="24"/>
        </w:rPr>
        <w:t>5</w:t>
      </w:r>
      <w:r w:rsidRPr="00287F4F">
        <w:rPr>
          <w:sz w:val="24"/>
        </w:rPr>
        <w:t>, 165–166, https://doi.org/10.1175/1520-0469(1948)005&lt;</w:t>
      </w:r>
      <w:proofErr w:type="gramStart"/>
      <w:r w:rsidRPr="00287F4F">
        <w:rPr>
          <w:sz w:val="24"/>
        </w:rPr>
        <w:t>0165:TDORWS</w:t>
      </w:r>
      <w:proofErr w:type="gramEnd"/>
      <w:r w:rsidRPr="00287F4F">
        <w:rPr>
          <w:sz w:val="24"/>
        </w:rPr>
        <w:t>&gt;2.0.CO;2.</w:t>
      </w:r>
    </w:p>
    <w:p w14:paraId="2818525F" w14:textId="77777777" w:rsidR="00287F4F" w:rsidRPr="00287F4F" w:rsidRDefault="00287F4F" w:rsidP="00287F4F">
      <w:pPr>
        <w:pStyle w:val="Bibliography"/>
        <w:rPr>
          <w:sz w:val="24"/>
        </w:rPr>
      </w:pPr>
      <w:r w:rsidRPr="00287F4F">
        <w:rPr>
          <w:sz w:val="24"/>
        </w:rPr>
        <w:t xml:space="preserve">Matsuo, T., and Y. </w:t>
      </w:r>
      <w:proofErr w:type="spellStart"/>
      <w:r w:rsidRPr="00287F4F">
        <w:rPr>
          <w:sz w:val="24"/>
        </w:rPr>
        <w:t>Sasyo</w:t>
      </w:r>
      <w:proofErr w:type="spellEnd"/>
      <w:r w:rsidRPr="00287F4F">
        <w:rPr>
          <w:sz w:val="24"/>
        </w:rPr>
        <w:t>, 1981: Empirical formula for the melting rate of snowflakes. https://doi.org/10.2151/JMSJ1965.59.1_1.</w:t>
      </w:r>
    </w:p>
    <w:p w14:paraId="481CC84C" w14:textId="77777777" w:rsidR="00287F4F" w:rsidRPr="00287F4F" w:rsidRDefault="00287F4F" w:rsidP="00287F4F">
      <w:pPr>
        <w:pStyle w:val="Bibliography"/>
        <w:rPr>
          <w:sz w:val="24"/>
        </w:rPr>
      </w:pPr>
      <w:proofErr w:type="spellStart"/>
      <w:r w:rsidRPr="00287F4F">
        <w:rPr>
          <w:sz w:val="24"/>
        </w:rPr>
        <w:t>McFarquhar</w:t>
      </w:r>
      <w:proofErr w:type="spellEnd"/>
      <w:r w:rsidRPr="00287F4F">
        <w:rPr>
          <w:sz w:val="24"/>
        </w:rPr>
        <w:t xml:space="preserve">, G. M., M. S. </w:t>
      </w:r>
      <w:proofErr w:type="spellStart"/>
      <w:r w:rsidRPr="00287F4F">
        <w:rPr>
          <w:sz w:val="24"/>
        </w:rPr>
        <w:t>Timlin</w:t>
      </w:r>
      <w:proofErr w:type="spellEnd"/>
      <w:r w:rsidRPr="00287F4F">
        <w:rPr>
          <w:sz w:val="24"/>
        </w:rPr>
        <w:t xml:space="preserve">, R. M. </w:t>
      </w:r>
      <w:proofErr w:type="spellStart"/>
      <w:r w:rsidRPr="00287F4F">
        <w:rPr>
          <w:sz w:val="24"/>
        </w:rPr>
        <w:t>Rauber</w:t>
      </w:r>
      <w:proofErr w:type="spellEnd"/>
      <w:r w:rsidRPr="00287F4F">
        <w:rPr>
          <w:sz w:val="24"/>
        </w:rPr>
        <w:t xml:space="preserve">, B. F. Jewett, J. A. Grim, and D. P. Jorgensen, 2007: Vertical Variability of Cloud Hydrometeors in the Stratiform Region of Mesoscale Convective Systems and Bow Echoes. </w:t>
      </w:r>
      <w:r w:rsidRPr="00287F4F">
        <w:rPr>
          <w:i/>
          <w:iCs/>
          <w:sz w:val="24"/>
        </w:rPr>
        <w:t>Monthly Weather Review</w:t>
      </w:r>
      <w:r w:rsidRPr="00287F4F">
        <w:rPr>
          <w:sz w:val="24"/>
        </w:rPr>
        <w:t xml:space="preserve">, </w:t>
      </w:r>
      <w:r w:rsidRPr="00287F4F">
        <w:rPr>
          <w:b/>
          <w:bCs/>
          <w:sz w:val="24"/>
        </w:rPr>
        <w:t>135</w:t>
      </w:r>
      <w:r w:rsidRPr="00287F4F">
        <w:rPr>
          <w:sz w:val="24"/>
        </w:rPr>
        <w:t>, 3405–3428, https://doi.org/10.1175/MWR3444.1.</w:t>
      </w:r>
    </w:p>
    <w:p w14:paraId="133CF7E2" w14:textId="77777777" w:rsidR="00287F4F" w:rsidRPr="00287F4F" w:rsidRDefault="00287F4F" w:rsidP="00287F4F">
      <w:pPr>
        <w:pStyle w:val="Bibliography"/>
        <w:rPr>
          <w:sz w:val="24"/>
        </w:rPr>
      </w:pPr>
      <w:r w:rsidRPr="00287F4F">
        <w:rPr>
          <w:sz w:val="24"/>
        </w:rPr>
        <w:t xml:space="preserve">Mitra, S. K., O. </w:t>
      </w:r>
      <w:proofErr w:type="spellStart"/>
      <w:r w:rsidRPr="00287F4F">
        <w:rPr>
          <w:sz w:val="24"/>
        </w:rPr>
        <w:t>Vohl</w:t>
      </w:r>
      <w:proofErr w:type="spellEnd"/>
      <w:r w:rsidRPr="00287F4F">
        <w:rPr>
          <w:sz w:val="24"/>
        </w:rPr>
        <w:t xml:space="preserve">, M. </w:t>
      </w:r>
      <w:proofErr w:type="spellStart"/>
      <w:r w:rsidRPr="00287F4F">
        <w:rPr>
          <w:sz w:val="24"/>
        </w:rPr>
        <w:t>Ahr</w:t>
      </w:r>
      <w:proofErr w:type="spellEnd"/>
      <w:r w:rsidRPr="00287F4F">
        <w:rPr>
          <w:sz w:val="24"/>
        </w:rPr>
        <w:t xml:space="preserve">, and H. R. </w:t>
      </w:r>
      <w:proofErr w:type="spellStart"/>
      <w:r w:rsidRPr="00287F4F">
        <w:rPr>
          <w:sz w:val="24"/>
        </w:rPr>
        <w:t>Pruppacher</w:t>
      </w:r>
      <w:proofErr w:type="spellEnd"/>
      <w:r w:rsidRPr="00287F4F">
        <w:rPr>
          <w:sz w:val="24"/>
        </w:rPr>
        <w:t xml:space="preserve">, 1990: A Wind Tunnel and Theoretical Study of the Melting Behavior of Atmospheric Ice Particles. IV: Experiment and Theory for </w:t>
      </w:r>
      <w:proofErr w:type="gramStart"/>
      <w:r w:rsidRPr="00287F4F">
        <w:rPr>
          <w:sz w:val="24"/>
        </w:rPr>
        <w:t>Snow Flakes</w:t>
      </w:r>
      <w:proofErr w:type="gramEnd"/>
      <w:r w:rsidRPr="00287F4F">
        <w:rPr>
          <w:sz w:val="24"/>
        </w:rPr>
        <w:t xml:space="preserve">. </w:t>
      </w:r>
      <w:r w:rsidRPr="00287F4F">
        <w:rPr>
          <w:i/>
          <w:iCs/>
          <w:sz w:val="24"/>
        </w:rPr>
        <w:t>Journal of the Atmospheric Sciences</w:t>
      </w:r>
      <w:r w:rsidRPr="00287F4F">
        <w:rPr>
          <w:sz w:val="24"/>
        </w:rPr>
        <w:t xml:space="preserve">, </w:t>
      </w:r>
      <w:r w:rsidRPr="00287F4F">
        <w:rPr>
          <w:b/>
          <w:bCs/>
          <w:sz w:val="24"/>
        </w:rPr>
        <w:t>47</w:t>
      </w:r>
      <w:r w:rsidRPr="00287F4F">
        <w:rPr>
          <w:sz w:val="24"/>
        </w:rPr>
        <w:t>, 584–591, https://doi.org/10.1175/1520-0469(1990)047&lt;</w:t>
      </w:r>
      <w:proofErr w:type="gramStart"/>
      <w:r w:rsidRPr="00287F4F">
        <w:rPr>
          <w:sz w:val="24"/>
        </w:rPr>
        <w:t>0584:AWTATS</w:t>
      </w:r>
      <w:proofErr w:type="gramEnd"/>
      <w:r w:rsidRPr="00287F4F">
        <w:rPr>
          <w:sz w:val="24"/>
        </w:rPr>
        <w:t>&gt;2.0.CO;2.</w:t>
      </w:r>
    </w:p>
    <w:p w14:paraId="24FE5EA3" w14:textId="77777777" w:rsidR="00287F4F" w:rsidRPr="00287F4F" w:rsidRDefault="00287F4F" w:rsidP="00287F4F">
      <w:pPr>
        <w:pStyle w:val="Bibliography"/>
        <w:rPr>
          <w:sz w:val="24"/>
        </w:rPr>
      </w:pPr>
      <w:r w:rsidRPr="00287F4F">
        <w:rPr>
          <w:sz w:val="24"/>
        </w:rPr>
        <w:t xml:space="preserve">Morrison, H., J. A. </w:t>
      </w:r>
      <w:proofErr w:type="spellStart"/>
      <w:r w:rsidRPr="00287F4F">
        <w:rPr>
          <w:sz w:val="24"/>
        </w:rPr>
        <w:t>Milbrandt</w:t>
      </w:r>
      <w:proofErr w:type="spellEnd"/>
      <w:r w:rsidRPr="00287F4F">
        <w:rPr>
          <w:sz w:val="24"/>
        </w:rPr>
        <w:t xml:space="preserve">, G. H. Bryan, K. Ikeda, S. A. </w:t>
      </w:r>
      <w:proofErr w:type="spellStart"/>
      <w:r w:rsidRPr="00287F4F">
        <w:rPr>
          <w:sz w:val="24"/>
        </w:rPr>
        <w:t>Tessendorf</w:t>
      </w:r>
      <w:proofErr w:type="spellEnd"/>
      <w:r w:rsidRPr="00287F4F">
        <w:rPr>
          <w:sz w:val="24"/>
        </w:rPr>
        <w:t xml:space="preserve">, and G. Thompson, 2015: Parameterization of Cloud Microphysics Based on the Prediction of Bulk Ice Particle Properties. Part II: Case Study Comparisons with Observations and Other Schemes. </w:t>
      </w:r>
      <w:r w:rsidRPr="00287F4F">
        <w:rPr>
          <w:i/>
          <w:iCs/>
          <w:sz w:val="24"/>
        </w:rPr>
        <w:t>Journal of the Atmospheric Sciences</w:t>
      </w:r>
      <w:r w:rsidRPr="00287F4F">
        <w:rPr>
          <w:sz w:val="24"/>
        </w:rPr>
        <w:t xml:space="preserve">, </w:t>
      </w:r>
      <w:r w:rsidRPr="00287F4F">
        <w:rPr>
          <w:b/>
          <w:bCs/>
          <w:sz w:val="24"/>
        </w:rPr>
        <w:t>72</w:t>
      </w:r>
      <w:r w:rsidRPr="00287F4F">
        <w:rPr>
          <w:sz w:val="24"/>
        </w:rPr>
        <w:t>, 312–339, https://doi.org/10.1175/JAS-D-14-0066.1.</w:t>
      </w:r>
    </w:p>
    <w:p w14:paraId="4D815C45" w14:textId="77777777" w:rsidR="00287F4F" w:rsidRPr="00287F4F" w:rsidRDefault="00287F4F" w:rsidP="00287F4F">
      <w:pPr>
        <w:pStyle w:val="Bibliography"/>
        <w:rPr>
          <w:sz w:val="24"/>
        </w:rPr>
      </w:pPr>
      <w:r w:rsidRPr="00287F4F">
        <w:rPr>
          <w:sz w:val="24"/>
        </w:rPr>
        <w:t xml:space="preserve">Stewart, R. E., J. D. </w:t>
      </w:r>
      <w:proofErr w:type="spellStart"/>
      <w:r w:rsidRPr="00287F4F">
        <w:rPr>
          <w:sz w:val="24"/>
        </w:rPr>
        <w:t>Marwitz</w:t>
      </w:r>
      <w:proofErr w:type="spellEnd"/>
      <w:r w:rsidRPr="00287F4F">
        <w:rPr>
          <w:sz w:val="24"/>
        </w:rPr>
        <w:t xml:space="preserve">, J. C. Pace, and R. E. Carbone, 1984: Characteristics through the Melting Layer of Stratiform Clouds. </w:t>
      </w:r>
      <w:r w:rsidRPr="00287F4F">
        <w:rPr>
          <w:i/>
          <w:iCs/>
          <w:sz w:val="24"/>
        </w:rPr>
        <w:t>Journal of the Atmospheric Sciences</w:t>
      </w:r>
      <w:r w:rsidRPr="00287F4F">
        <w:rPr>
          <w:sz w:val="24"/>
        </w:rPr>
        <w:t xml:space="preserve">, </w:t>
      </w:r>
      <w:r w:rsidRPr="00287F4F">
        <w:rPr>
          <w:b/>
          <w:bCs/>
          <w:sz w:val="24"/>
        </w:rPr>
        <w:t>41</w:t>
      </w:r>
      <w:r w:rsidRPr="00287F4F">
        <w:rPr>
          <w:sz w:val="24"/>
        </w:rPr>
        <w:t>, 3227–3237, https://doi.org/10.1175/1520-0469(1984)041&lt;</w:t>
      </w:r>
      <w:proofErr w:type="gramStart"/>
      <w:r w:rsidRPr="00287F4F">
        <w:rPr>
          <w:sz w:val="24"/>
        </w:rPr>
        <w:t>3227:CTTMLO</w:t>
      </w:r>
      <w:proofErr w:type="gramEnd"/>
      <w:r w:rsidRPr="00287F4F">
        <w:rPr>
          <w:sz w:val="24"/>
        </w:rPr>
        <w:t>&gt;2.0.CO;2.</w:t>
      </w:r>
    </w:p>
    <w:p w14:paraId="76BDA0B9" w14:textId="77777777" w:rsidR="00287F4F" w:rsidRPr="00287F4F" w:rsidRDefault="00287F4F" w:rsidP="00287F4F">
      <w:pPr>
        <w:pStyle w:val="Bibliography"/>
        <w:rPr>
          <w:sz w:val="24"/>
        </w:rPr>
      </w:pPr>
      <w:r w:rsidRPr="00287F4F">
        <w:rPr>
          <w:sz w:val="24"/>
        </w:rPr>
        <w:lastRenderedPageBreak/>
        <w:t xml:space="preserve">Szeto, K. K., and R. E. Stewart, 1997: Effects of Melting on Frontogenesis. </w:t>
      </w:r>
      <w:r w:rsidRPr="00287F4F">
        <w:rPr>
          <w:i/>
          <w:iCs/>
          <w:sz w:val="24"/>
        </w:rPr>
        <w:t>Journal of the Atmospheric Sciences</w:t>
      </w:r>
      <w:r w:rsidRPr="00287F4F">
        <w:rPr>
          <w:sz w:val="24"/>
        </w:rPr>
        <w:t xml:space="preserve">, </w:t>
      </w:r>
      <w:r w:rsidRPr="00287F4F">
        <w:rPr>
          <w:b/>
          <w:bCs/>
          <w:sz w:val="24"/>
        </w:rPr>
        <w:t>54</w:t>
      </w:r>
      <w:r w:rsidRPr="00287F4F">
        <w:rPr>
          <w:sz w:val="24"/>
        </w:rPr>
        <w:t>, 689–702, https://doi.org/10.1175/1520-0469(1997)054&lt;</w:t>
      </w:r>
      <w:proofErr w:type="gramStart"/>
      <w:r w:rsidRPr="00287F4F">
        <w:rPr>
          <w:sz w:val="24"/>
        </w:rPr>
        <w:t>0689:EOMOF</w:t>
      </w:r>
      <w:proofErr w:type="gramEnd"/>
      <w:r w:rsidRPr="00287F4F">
        <w:rPr>
          <w:sz w:val="24"/>
        </w:rPr>
        <w:t>&gt;2.0.CO;2.</w:t>
      </w:r>
    </w:p>
    <w:p w14:paraId="63CBDB5B" w14:textId="77777777" w:rsidR="00287F4F" w:rsidRPr="00287F4F" w:rsidRDefault="00287F4F" w:rsidP="00287F4F">
      <w:pPr>
        <w:pStyle w:val="Bibliography"/>
        <w:rPr>
          <w:sz w:val="24"/>
        </w:rPr>
      </w:pPr>
      <w:proofErr w:type="spellStart"/>
      <w:r w:rsidRPr="00287F4F">
        <w:rPr>
          <w:sz w:val="24"/>
        </w:rPr>
        <w:t>Szyrmer</w:t>
      </w:r>
      <w:proofErr w:type="spellEnd"/>
      <w:r w:rsidRPr="00287F4F">
        <w:rPr>
          <w:sz w:val="24"/>
        </w:rPr>
        <w:t xml:space="preserve">, W., and I. </w:t>
      </w:r>
      <w:proofErr w:type="spellStart"/>
      <w:r w:rsidRPr="00287F4F">
        <w:rPr>
          <w:sz w:val="24"/>
        </w:rPr>
        <w:t>Zawadzki</w:t>
      </w:r>
      <w:proofErr w:type="spellEnd"/>
      <w:r w:rsidRPr="00287F4F">
        <w:rPr>
          <w:sz w:val="24"/>
        </w:rPr>
        <w:t xml:space="preserve">, 1999: Modeling of the Melting Layer. Part I: Dynamics and Microphysics. </w:t>
      </w:r>
      <w:r w:rsidRPr="00287F4F">
        <w:rPr>
          <w:i/>
          <w:iCs/>
          <w:sz w:val="24"/>
        </w:rPr>
        <w:t>Journal of the Atmospheric Sciences</w:t>
      </w:r>
      <w:r w:rsidRPr="00287F4F">
        <w:rPr>
          <w:sz w:val="24"/>
        </w:rPr>
        <w:t xml:space="preserve">, </w:t>
      </w:r>
      <w:r w:rsidRPr="00287F4F">
        <w:rPr>
          <w:b/>
          <w:bCs/>
          <w:sz w:val="24"/>
        </w:rPr>
        <w:t>56</w:t>
      </w:r>
      <w:r w:rsidRPr="00287F4F">
        <w:rPr>
          <w:sz w:val="24"/>
        </w:rPr>
        <w:t>, 3573–3592, https://doi.org/10.1175/1520-0469(1999)056&lt;</w:t>
      </w:r>
      <w:proofErr w:type="gramStart"/>
      <w:r w:rsidRPr="00287F4F">
        <w:rPr>
          <w:sz w:val="24"/>
        </w:rPr>
        <w:t>3573:MOTMLP</w:t>
      </w:r>
      <w:proofErr w:type="gramEnd"/>
      <w:r w:rsidRPr="00287F4F">
        <w:rPr>
          <w:sz w:val="24"/>
        </w:rPr>
        <w:t>&gt;2.0.CO;2.</w:t>
      </w:r>
    </w:p>
    <w:p w14:paraId="1EAB1F88" w14:textId="77777777" w:rsidR="00287F4F" w:rsidRPr="00287F4F" w:rsidRDefault="00287F4F" w:rsidP="00287F4F">
      <w:pPr>
        <w:pStyle w:val="Bibliography"/>
        <w:rPr>
          <w:sz w:val="24"/>
        </w:rPr>
      </w:pPr>
      <w:proofErr w:type="spellStart"/>
      <w:r w:rsidRPr="00287F4F">
        <w:rPr>
          <w:sz w:val="24"/>
        </w:rPr>
        <w:t>Tapiador</w:t>
      </w:r>
      <w:proofErr w:type="spellEnd"/>
      <w:r w:rsidRPr="00287F4F">
        <w:rPr>
          <w:sz w:val="24"/>
        </w:rPr>
        <w:t xml:space="preserve">, F. J., J.-L. Sánchez, and E. García-Ortega, 2019: Empirical values and assumptions in the microphysics of numerical models. </w:t>
      </w:r>
      <w:r w:rsidRPr="00287F4F">
        <w:rPr>
          <w:i/>
          <w:iCs/>
          <w:sz w:val="24"/>
        </w:rPr>
        <w:t>Atmospheric Research</w:t>
      </w:r>
      <w:r w:rsidRPr="00287F4F">
        <w:rPr>
          <w:sz w:val="24"/>
        </w:rPr>
        <w:t xml:space="preserve">, </w:t>
      </w:r>
      <w:r w:rsidRPr="00287F4F">
        <w:rPr>
          <w:b/>
          <w:bCs/>
          <w:sz w:val="24"/>
        </w:rPr>
        <w:t>215</w:t>
      </w:r>
      <w:r w:rsidRPr="00287F4F">
        <w:rPr>
          <w:sz w:val="24"/>
        </w:rPr>
        <w:t>, 214–238, https://doi.org/10.1016/j.atmosres.2018.09.010.</w:t>
      </w:r>
    </w:p>
    <w:p w14:paraId="25E56658" w14:textId="77777777" w:rsidR="00287F4F" w:rsidRPr="00287F4F" w:rsidRDefault="00287F4F" w:rsidP="00287F4F">
      <w:pPr>
        <w:pStyle w:val="Bibliography"/>
        <w:rPr>
          <w:sz w:val="24"/>
        </w:rPr>
      </w:pPr>
      <w:r w:rsidRPr="00287F4F">
        <w:rPr>
          <w:sz w:val="24"/>
        </w:rPr>
        <w:t xml:space="preserve">Thompson, G., P. R. Field, R. M. Rasmussen, and W. D. Hall, 2008: Explicit Forecasts of Winter Precipitation Using an Improved Bulk Microphysics Scheme. Part II: Implementation of a New Snow Parameterization. </w:t>
      </w:r>
      <w:r w:rsidRPr="00287F4F">
        <w:rPr>
          <w:i/>
          <w:iCs/>
          <w:sz w:val="24"/>
        </w:rPr>
        <w:t>Monthly Weather Review</w:t>
      </w:r>
      <w:r w:rsidRPr="00287F4F">
        <w:rPr>
          <w:sz w:val="24"/>
        </w:rPr>
        <w:t xml:space="preserve">, </w:t>
      </w:r>
      <w:r w:rsidRPr="00287F4F">
        <w:rPr>
          <w:b/>
          <w:bCs/>
          <w:sz w:val="24"/>
        </w:rPr>
        <w:t>136</w:t>
      </w:r>
      <w:r w:rsidRPr="00287F4F">
        <w:rPr>
          <w:sz w:val="24"/>
        </w:rPr>
        <w:t>, 5095–5115, https://doi.org/10.1175/2008MWR2387.1.</w:t>
      </w:r>
    </w:p>
    <w:p w14:paraId="6C9411D0" w14:textId="77777777" w:rsidR="00287F4F" w:rsidRPr="00287F4F" w:rsidRDefault="00287F4F" w:rsidP="00287F4F">
      <w:pPr>
        <w:pStyle w:val="Bibliography"/>
        <w:rPr>
          <w:sz w:val="24"/>
        </w:rPr>
      </w:pPr>
      <w:r w:rsidRPr="00287F4F">
        <w:rPr>
          <w:sz w:val="24"/>
        </w:rPr>
        <w:t xml:space="preserve">Wagner, S. W., and D. J. </w:t>
      </w:r>
      <w:proofErr w:type="spellStart"/>
      <w:r w:rsidRPr="00287F4F">
        <w:rPr>
          <w:sz w:val="24"/>
        </w:rPr>
        <w:t>Delene</w:t>
      </w:r>
      <w:proofErr w:type="spellEnd"/>
      <w:r w:rsidRPr="00287F4F">
        <w:rPr>
          <w:sz w:val="24"/>
        </w:rPr>
        <w:t xml:space="preserve">, 2022: </w:t>
      </w:r>
      <w:r w:rsidRPr="00287F4F">
        <w:rPr>
          <w:i/>
          <w:iCs/>
          <w:sz w:val="24"/>
        </w:rPr>
        <w:t>Technique for comparison of backscatter coefficients derived from in-situ cloud probe measurements with concurrent airborne Lidar</w:t>
      </w:r>
      <w:r w:rsidRPr="00287F4F">
        <w:rPr>
          <w:sz w:val="24"/>
        </w:rPr>
        <w:t xml:space="preserve">. Clouds/In Situ Measurement/Validation and </w:t>
      </w:r>
      <w:proofErr w:type="gramStart"/>
      <w:r w:rsidRPr="00287F4F">
        <w:rPr>
          <w:sz w:val="24"/>
        </w:rPr>
        <w:t>Intercomparisons,.</w:t>
      </w:r>
      <w:proofErr w:type="gramEnd"/>
    </w:p>
    <w:p w14:paraId="077C3C39" w14:textId="77777777" w:rsidR="00287F4F" w:rsidRPr="00287F4F" w:rsidRDefault="00287F4F" w:rsidP="00287F4F">
      <w:pPr>
        <w:pStyle w:val="Bibliography"/>
        <w:rPr>
          <w:sz w:val="24"/>
        </w:rPr>
      </w:pPr>
      <w:r w:rsidRPr="00287F4F">
        <w:rPr>
          <w:sz w:val="24"/>
        </w:rPr>
        <w:t xml:space="preserve">Wexler, R., R. J. Reed, and J. Honig, 1954: Atmospheric Cooling by Melting Snow *. </w:t>
      </w:r>
      <w:r w:rsidRPr="00287F4F">
        <w:rPr>
          <w:i/>
          <w:iCs/>
          <w:sz w:val="24"/>
        </w:rPr>
        <w:t>Bulletin of the American Meteorological Society</w:t>
      </w:r>
      <w:r w:rsidRPr="00287F4F">
        <w:rPr>
          <w:sz w:val="24"/>
        </w:rPr>
        <w:t xml:space="preserve">, </w:t>
      </w:r>
      <w:r w:rsidRPr="00287F4F">
        <w:rPr>
          <w:b/>
          <w:bCs/>
          <w:sz w:val="24"/>
        </w:rPr>
        <w:t>35</w:t>
      </w:r>
      <w:r w:rsidRPr="00287F4F">
        <w:rPr>
          <w:sz w:val="24"/>
        </w:rPr>
        <w:t>, 48–51, https://doi.org/10.1175/1520-0477-35.2.48.</w:t>
      </w:r>
    </w:p>
    <w:p w14:paraId="441EFA4C" w14:textId="77777777" w:rsidR="00287F4F" w:rsidRPr="00287F4F" w:rsidRDefault="00287F4F" w:rsidP="00287F4F">
      <w:pPr>
        <w:pStyle w:val="Bibliography"/>
        <w:rPr>
          <w:sz w:val="24"/>
        </w:rPr>
      </w:pPr>
      <w:r w:rsidRPr="00287F4F">
        <w:rPr>
          <w:sz w:val="24"/>
        </w:rPr>
        <w:t xml:space="preserve">Willis, P. T., and A. J. Heymsfield, 1989: Structure of the Melting Layer in Mesoscale Convective System Stratiform Precipitation. </w:t>
      </w:r>
      <w:r w:rsidRPr="00287F4F">
        <w:rPr>
          <w:i/>
          <w:iCs/>
          <w:sz w:val="24"/>
        </w:rPr>
        <w:t>Journal of the Atmospheric Sciences</w:t>
      </w:r>
      <w:r w:rsidRPr="00287F4F">
        <w:rPr>
          <w:sz w:val="24"/>
        </w:rPr>
        <w:t xml:space="preserve">, </w:t>
      </w:r>
      <w:r w:rsidRPr="00287F4F">
        <w:rPr>
          <w:b/>
          <w:bCs/>
          <w:sz w:val="24"/>
        </w:rPr>
        <w:t>46</w:t>
      </w:r>
      <w:r w:rsidRPr="00287F4F">
        <w:rPr>
          <w:sz w:val="24"/>
        </w:rPr>
        <w:t>, 2008–2025, https://doi.org/10.1175/1520-0469(1989)046&lt;</w:t>
      </w:r>
      <w:proofErr w:type="gramStart"/>
      <w:r w:rsidRPr="00287F4F">
        <w:rPr>
          <w:sz w:val="24"/>
        </w:rPr>
        <w:t>2008:SOTMLI</w:t>
      </w:r>
      <w:proofErr w:type="gramEnd"/>
      <w:r w:rsidRPr="00287F4F">
        <w:rPr>
          <w:sz w:val="24"/>
        </w:rPr>
        <w:t>&gt;2.0.CO;2.</w:t>
      </w:r>
    </w:p>
    <w:p w14:paraId="73751A29" w14:textId="77777777" w:rsidR="00287F4F" w:rsidRPr="00287F4F" w:rsidRDefault="00287F4F" w:rsidP="00287F4F">
      <w:pPr>
        <w:pStyle w:val="Bibliography"/>
        <w:rPr>
          <w:sz w:val="24"/>
        </w:rPr>
      </w:pPr>
      <w:r w:rsidRPr="00287F4F">
        <w:rPr>
          <w:sz w:val="24"/>
        </w:rPr>
        <w:t xml:space="preserve"> Psychrometric formula - Glossary of Meteorology. https://glossary.ametsoc.org/wiki/Psychrometric_formula (Accessed May 2, 2022).</w:t>
      </w:r>
    </w:p>
    <w:p w14:paraId="1F3A254F" w14:textId="4847BB9B" w:rsidR="003416DD" w:rsidRPr="00D82172" w:rsidRDefault="005A429C" w:rsidP="003416DD">
      <w:pPr>
        <w:pStyle w:val="Standard"/>
        <w:rPr>
          <w:rFonts w:ascii="Times New Roman" w:hAnsi="Times New Roman" w:cs="Times New Roman"/>
          <w:sz w:val="24"/>
          <w:lang w:val="en-US"/>
        </w:rPr>
      </w:pPr>
      <w:r>
        <w:rPr>
          <w:rFonts w:ascii="Times New Roman" w:hAnsi="Times New Roman" w:cs="Times New Roman"/>
          <w:sz w:val="24"/>
          <w:lang w:val="en-US"/>
        </w:rPr>
        <w:fldChar w:fldCharType="end"/>
      </w:r>
    </w:p>
    <w:sectPr w:rsidR="003416DD" w:rsidRPr="00D82172" w:rsidSect="006335A1">
      <w:pgSz w:w="12240" w:h="15840"/>
      <w:pgMar w:top="1469" w:right="1440" w:bottom="1469" w:left="1469" w:header="720" w:footer="720" w:gutter="0"/>
      <w:pgNumType w:start="1"/>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BBC80" w14:textId="77777777" w:rsidR="00681B14" w:rsidRDefault="00681B14">
      <w:r>
        <w:separator/>
      </w:r>
    </w:p>
  </w:endnote>
  <w:endnote w:type="continuationSeparator" w:id="0">
    <w:p w14:paraId="3C93D564" w14:textId="77777777" w:rsidR="00681B14" w:rsidRDefault="00681B14">
      <w:r>
        <w:continuationSeparator/>
      </w:r>
    </w:p>
  </w:endnote>
  <w:endnote w:type="continuationNotice" w:id="1">
    <w:p w14:paraId="375546A1" w14:textId="77777777" w:rsidR="00681B14" w:rsidRDefault="00681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Noto Sans CJK SC">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Lohit Devanagari">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36D0" w14:textId="51727364" w:rsidR="00BA53A2" w:rsidRDefault="00BA53A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EAD7" w14:textId="77777777" w:rsidR="00BA53A2" w:rsidRDefault="00BA53A2">
    <w:pPr>
      <w:pStyle w:val="Footer"/>
      <w:jc w:val="center"/>
    </w:pPr>
    <w:r>
      <w:fldChar w:fldCharType="begin"/>
    </w:r>
    <w:r>
      <w:instrText xml:space="preserve"> PAGE  \</w:instrText>
    </w:r>
  </w:p>
  <w:p w14:paraId="0E5D390A" w14:textId="3D269E89" w:rsidR="00BA53A2" w:rsidRDefault="00BA53A2">
    <w:pPr>
      <w:pStyle w:val="Footer"/>
      <w:jc w:val="center"/>
    </w:pPr>
    <w:r>
      <w:fldChar w:fldCharType="separate"/>
    </w:r>
    <w:r w:rsidR="00E427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E40CE" w14:textId="77777777" w:rsidR="00681B14" w:rsidRDefault="00681B14">
      <w:r>
        <w:separator/>
      </w:r>
    </w:p>
  </w:footnote>
  <w:footnote w:type="continuationSeparator" w:id="0">
    <w:p w14:paraId="16A9D12E" w14:textId="77777777" w:rsidR="00681B14" w:rsidRDefault="00681B14">
      <w:r>
        <w:continuationSeparator/>
      </w:r>
    </w:p>
  </w:footnote>
  <w:footnote w:type="continuationNotice" w:id="1">
    <w:p w14:paraId="76C9AEFF" w14:textId="77777777" w:rsidR="00681B14" w:rsidRDefault="00681B14"/>
  </w:footnote>
</w:footnotes>
</file>

<file path=word/intelligence2.xml><?xml version="1.0" encoding="utf-8"?>
<int2:intelligence xmlns:int2="http://schemas.microsoft.com/office/intelligence/2020/intelligence" xmlns:oel="http://schemas.microsoft.com/office/2019/extlst">
  <int2:observations>
    <int2:textHash int2:hashCode="wCgj9rKdcuGrsF" int2:id="w4LKnqJB">
      <int2:state int2:value="Rejected" int2:type="AugLoop_Text_Critique"/>
    </int2:textHash>
    <int2:bookmark int2:bookmarkName="_Int_xp55jp2A" int2:invalidationBookmarkName="" int2:hashCode="vmpWPnZdDB2YSQ" int2:id="WBoOSFmE">
      <int2:state int2:value="Rejected" int2:type="LegacyProofing"/>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A5227"/>
    <w:multiLevelType w:val="hybridMultilevel"/>
    <w:tmpl w:val="8F7AB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9D1F49"/>
    <w:multiLevelType w:val="multilevel"/>
    <w:tmpl w:val="BB78862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647101E8"/>
    <w:multiLevelType w:val="hybridMultilevel"/>
    <w:tmpl w:val="D7D49BBC"/>
    <w:lvl w:ilvl="0" w:tplc="6CCADC52">
      <w:start w:val="2"/>
      <w:numFmt w:val="bullet"/>
      <w:lvlText w:val="-"/>
      <w:lvlJc w:val="left"/>
      <w:pPr>
        <w:ind w:left="720" w:hanging="360"/>
      </w:pPr>
      <w:rPr>
        <w:rFonts w:ascii="Liberation Serif" w:eastAsia="NSimSun" w:hAnsi="Liberation Serif"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099463">
    <w:abstractNumId w:val="1"/>
  </w:num>
  <w:num w:numId="2" w16cid:durableId="914128789">
    <w:abstractNumId w:val="0"/>
  </w:num>
  <w:num w:numId="3" w16cid:durableId="385488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2DF"/>
    <w:rsid w:val="0000089E"/>
    <w:rsid w:val="00000D75"/>
    <w:rsid w:val="000010F0"/>
    <w:rsid w:val="000016B9"/>
    <w:rsid w:val="00001D36"/>
    <w:rsid w:val="00003012"/>
    <w:rsid w:val="00003014"/>
    <w:rsid w:val="0000365F"/>
    <w:rsid w:val="00003B94"/>
    <w:rsid w:val="0000419F"/>
    <w:rsid w:val="000045F4"/>
    <w:rsid w:val="00004E11"/>
    <w:rsid w:val="00005170"/>
    <w:rsid w:val="00005B4B"/>
    <w:rsid w:val="00006608"/>
    <w:rsid w:val="00006903"/>
    <w:rsid w:val="0000698B"/>
    <w:rsid w:val="00006FC8"/>
    <w:rsid w:val="000071A7"/>
    <w:rsid w:val="000076A7"/>
    <w:rsid w:val="00010E0C"/>
    <w:rsid w:val="000116BD"/>
    <w:rsid w:val="00011CD2"/>
    <w:rsid w:val="0001201B"/>
    <w:rsid w:val="000128F3"/>
    <w:rsid w:val="00012971"/>
    <w:rsid w:val="000131DB"/>
    <w:rsid w:val="0001454E"/>
    <w:rsid w:val="000146F0"/>
    <w:rsid w:val="00014B7A"/>
    <w:rsid w:val="00015451"/>
    <w:rsid w:val="00015457"/>
    <w:rsid w:val="00016A31"/>
    <w:rsid w:val="00016C37"/>
    <w:rsid w:val="0001702D"/>
    <w:rsid w:val="000179F6"/>
    <w:rsid w:val="000206F0"/>
    <w:rsid w:val="0002074D"/>
    <w:rsid w:val="00020910"/>
    <w:rsid w:val="00020D46"/>
    <w:rsid w:val="00020F8F"/>
    <w:rsid w:val="00021E90"/>
    <w:rsid w:val="000222EC"/>
    <w:rsid w:val="000223BC"/>
    <w:rsid w:val="000229F1"/>
    <w:rsid w:val="00022C7D"/>
    <w:rsid w:val="000230E4"/>
    <w:rsid w:val="0002314D"/>
    <w:rsid w:val="00023392"/>
    <w:rsid w:val="00023CF0"/>
    <w:rsid w:val="00023F88"/>
    <w:rsid w:val="00024C8A"/>
    <w:rsid w:val="00025C80"/>
    <w:rsid w:val="000266B2"/>
    <w:rsid w:val="00026ACB"/>
    <w:rsid w:val="00026B28"/>
    <w:rsid w:val="00026BB0"/>
    <w:rsid w:val="00026CC0"/>
    <w:rsid w:val="00027C83"/>
    <w:rsid w:val="00027D2D"/>
    <w:rsid w:val="00027FFB"/>
    <w:rsid w:val="00030586"/>
    <w:rsid w:val="00030BFB"/>
    <w:rsid w:val="00030E62"/>
    <w:rsid w:val="00030F31"/>
    <w:rsid w:val="0003155D"/>
    <w:rsid w:val="00031E21"/>
    <w:rsid w:val="000320D8"/>
    <w:rsid w:val="00032ACE"/>
    <w:rsid w:val="00032BF8"/>
    <w:rsid w:val="00033198"/>
    <w:rsid w:val="00033314"/>
    <w:rsid w:val="00033385"/>
    <w:rsid w:val="00033E47"/>
    <w:rsid w:val="00034AA8"/>
    <w:rsid w:val="00034CD6"/>
    <w:rsid w:val="00034DEA"/>
    <w:rsid w:val="00035E7E"/>
    <w:rsid w:val="00035FAF"/>
    <w:rsid w:val="00036725"/>
    <w:rsid w:val="00040E93"/>
    <w:rsid w:val="00041DB0"/>
    <w:rsid w:val="00042053"/>
    <w:rsid w:val="00042187"/>
    <w:rsid w:val="00043ED0"/>
    <w:rsid w:val="0004432A"/>
    <w:rsid w:val="00044FA1"/>
    <w:rsid w:val="000451F8"/>
    <w:rsid w:val="00045E4C"/>
    <w:rsid w:val="0004600F"/>
    <w:rsid w:val="00046624"/>
    <w:rsid w:val="00046651"/>
    <w:rsid w:val="00046D54"/>
    <w:rsid w:val="00046DFD"/>
    <w:rsid w:val="00046EB4"/>
    <w:rsid w:val="00046FA7"/>
    <w:rsid w:val="00046FC9"/>
    <w:rsid w:val="000470FB"/>
    <w:rsid w:val="00047107"/>
    <w:rsid w:val="000477B0"/>
    <w:rsid w:val="00047F30"/>
    <w:rsid w:val="00050291"/>
    <w:rsid w:val="0005054F"/>
    <w:rsid w:val="000518FA"/>
    <w:rsid w:val="00051D9E"/>
    <w:rsid w:val="00051E72"/>
    <w:rsid w:val="00052468"/>
    <w:rsid w:val="000528E0"/>
    <w:rsid w:val="000537F7"/>
    <w:rsid w:val="00054518"/>
    <w:rsid w:val="00055256"/>
    <w:rsid w:val="00055366"/>
    <w:rsid w:val="00055451"/>
    <w:rsid w:val="000555BB"/>
    <w:rsid w:val="00055D18"/>
    <w:rsid w:val="00055D53"/>
    <w:rsid w:val="0005729A"/>
    <w:rsid w:val="00057445"/>
    <w:rsid w:val="000602BA"/>
    <w:rsid w:val="0006042A"/>
    <w:rsid w:val="000605D7"/>
    <w:rsid w:val="0006086E"/>
    <w:rsid w:val="00061032"/>
    <w:rsid w:val="000610B1"/>
    <w:rsid w:val="000611C9"/>
    <w:rsid w:val="000611F5"/>
    <w:rsid w:val="0006189F"/>
    <w:rsid w:val="00061D23"/>
    <w:rsid w:val="00062403"/>
    <w:rsid w:val="000628B6"/>
    <w:rsid w:val="0006315C"/>
    <w:rsid w:val="0006324B"/>
    <w:rsid w:val="0006465D"/>
    <w:rsid w:val="00065054"/>
    <w:rsid w:val="000656CD"/>
    <w:rsid w:val="000658D0"/>
    <w:rsid w:val="00066650"/>
    <w:rsid w:val="00066D9E"/>
    <w:rsid w:val="00067358"/>
    <w:rsid w:val="000700E5"/>
    <w:rsid w:val="00070D60"/>
    <w:rsid w:val="000711FC"/>
    <w:rsid w:val="00071C85"/>
    <w:rsid w:val="00072540"/>
    <w:rsid w:val="00073B1A"/>
    <w:rsid w:val="00073C77"/>
    <w:rsid w:val="00073D81"/>
    <w:rsid w:val="00073D82"/>
    <w:rsid w:val="00073FD1"/>
    <w:rsid w:val="00074192"/>
    <w:rsid w:val="0007464B"/>
    <w:rsid w:val="00076353"/>
    <w:rsid w:val="000770C9"/>
    <w:rsid w:val="00077297"/>
    <w:rsid w:val="000803C0"/>
    <w:rsid w:val="000809D5"/>
    <w:rsid w:val="00080AC4"/>
    <w:rsid w:val="00080B61"/>
    <w:rsid w:val="00080FBA"/>
    <w:rsid w:val="00082163"/>
    <w:rsid w:val="0008218A"/>
    <w:rsid w:val="000826B6"/>
    <w:rsid w:val="00082C22"/>
    <w:rsid w:val="00083B96"/>
    <w:rsid w:val="00083CF8"/>
    <w:rsid w:val="00084BBF"/>
    <w:rsid w:val="00084FA9"/>
    <w:rsid w:val="0008506D"/>
    <w:rsid w:val="000856F5"/>
    <w:rsid w:val="00086258"/>
    <w:rsid w:val="000863E4"/>
    <w:rsid w:val="00086879"/>
    <w:rsid w:val="000868A7"/>
    <w:rsid w:val="00086DF5"/>
    <w:rsid w:val="0008708F"/>
    <w:rsid w:val="000872E5"/>
    <w:rsid w:val="00087D15"/>
    <w:rsid w:val="00087DCA"/>
    <w:rsid w:val="000906C4"/>
    <w:rsid w:val="00091CE2"/>
    <w:rsid w:val="00092579"/>
    <w:rsid w:val="00092EE2"/>
    <w:rsid w:val="00093463"/>
    <w:rsid w:val="000934E3"/>
    <w:rsid w:val="00093B2C"/>
    <w:rsid w:val="00093DEE"/>
    <w:rsid w:val="00093E9C"/>
    <w:rsid w:val="000941AA"/>
    <w:rsid w:val="00094B7E"/>
    <w:rsid w:val="0009513D"/>
    <w:rsid w:val="00095A2C"/>
    <w:rsid w:val="0009657E"/>
    <w:rsid w:val="0009678A"/>
    <w:rsid w:val="00096E4D"/>
    <w:rsid w:val="000A08A8"/>
    <w:rsid w:val="000A091A"/>
    <w:rsid w:val="000A0C01"/>
    <w:rsid w:val="000A1478"/>
    <w:rsid w:val="000A1600"/>
    <w:rsid w:val="000A1E51"/>
    <w:rsid w:val="000A23D5"/>
    <w:rsid w:val="000A2B16"/>
    <w:rsid w:val="000A2B9D"/>
    <w:rsid w:val="000A2DBB"/>
    <w:rsid w:val="000A3AE7"/>
    <w:rsid w:val="000A40D1"/>
    <w:rsid w:val="000A421C"/>
    <w:rsid w:val="000A4B97"/>
    <w:rsid w:val="000A514C"/>
    <w:rsid w:val="000A54E4"/>
    <w:rsid w:val="000A584C"/>
    <w:rsid w:val="000A6496"/>
    <w:rsid w:val="000A6917"/>
    <w:rsid w:val="000A6A9D"/>
    <w:rsid w:val="000B0A63"/>
    <w:rsid w:val="000B0E53"/>
    <w:rsid w:val="000B102A"/>
    <w:rsid w:val="000B11FB"/>
    <w:rsid w:val="000B139B"/>
    <w:rsid w:val="000B18A3"/>
    <w:rsid w:val="000B1996"/>
    <w:rsid w:val="000B2FD9"/>
    <w:rsid w:val="000B34D9"/>
    <w:rsid w:val="000B4184"/>
    <w:rsid w:val="000B5281"/>
    <w:rsid w:val="000B7A03"/>
    <w:rsid w:val="000B7A76"/>
    <w:rsid w:val="000C0594"/>
    <w:rsid w:val="000C0959"/>
    <w:rsid w:val="000C11F4"/>
    <w:rsid w:val="000C1CFA"/>
    <w:rsid w:val="000C23D9"/>
    <w:rsid w:val="000C258E"/>
    <w:rsid w:val="000C3828"/>
    <w:rsid w:val="000C39BB"/>
    <w:rsid w:val="000C4393"/>
    <w:rsid w:val="000C44D3"/>
    <w:rsid w:val="000C45F3"/>
    <w:rsid w:val="000C48F5"/>
    <w:rsid w:val="000C4AD8"/>
    <w:rsid w:val="000C4CE6"/>
    <w:rsid w:val="000C525F"/>
    <w:rsid w:val="000C531A"/>
    <w:rsid w:val="000C5541"/>
    <w:rsid w:val="000C55E0"/>
    <w:rsid w:val="000C6003"/>
    <w:rsid w:val="000C6505"/>
    <w:rsid w:val="000C65C1"/>
    <w:rsid w:val="000C6CAA"/>
    <w:rsid w:val="000C7DC2"/>
    <w:rsid w:val="000C7DEF"/>
    <w:rsid w:val="000D0429"/>
    <w:rsid w:val="000D0569"/>
    <w:rsid w:val="000D0B7C"/>
    <w:rsid w:val="000D0D7D"/>
    <w:rsid w:val="000D1751"/>
    <w:rsid w:val="000D184E"/>
    <w:rsid w:val="000D1FED"/>
    <w:rsid w:val="000D2297"/>
    <w:rsid w:val="000D25A8"/>
    <w:rsid w:val="000D285E"/>
    <w:rsid w:val="000D3D06"/>
    <w:rsid w:val="000D423F"/>
    <w:rsid w:val="000D4712"/>
    <w:rsid w:val="000D4807"/>
    <w:rsid w:val="000D4A60"/>
    <w:rsid w:val="000D4C97"/>
    <w:rsid w:val="000D4DF5"/>
    <w:rsid w:val="000D4E9D"/>
    <w:rsid w:val="000D5B38"/>
    <w:rsid w:val="000D5C67"/>
    <w:rsid w:val="000D5D6E"/>
    <w:rsid w:val="000D60B5"/>
    <w:rsid w:val="000D61DE"/>
    <w:rsid w:val="000D7276"/>
    <w:rsid w:val="000D77CB"/>
    <w:rsid w:val="000D7948"/>
    <w:rsid w:val="000D7987"/>
    <w:rsid w:val="000D7C9B"/>
    <w:rsid w:val="000D7FC3"/>
    <w:rsid w:val="000E00F4"/>
    <w:rsid w:val="000E09E3"/>
    <w:rsid w:val="000E0C73"/>
    <w:rsid w:val="000E0DCD"/>
    <w:rsid w:val="000E1DBE"/>
    <w:rsid w:val="000E21B4"/>
    <w:rsid w:val="000E2C96"/>
    <w:rsid w:val="000E35E5"/>
    <w:rsid w:val="000E37A4"/>
    <w:rsid w:val="000E37D3"/>
    <w:rsid w:val="000E3986"/>
    <w:rsid w:val="000E3E05"/>
    <w:rsid w:val="000E4214"/>
    <w:rsid w:val="000E4322"/>
    <w:rsid w:val="000E4B1E"/>
    <w:rsid w:val="000E545C"/>
    <w:rsid w:val="000E5886"/>
    <w:rsid w:val="000E5912"/>
    <w:rsid w:val="000E5FC9"/>
    <w:rsid w:val="000E7DD1"/>
    <w:rsid w:val="000E8CB1"/>
    <w:rsid w:val="000F014A"/>
    <w:rsid w:val="000F04B9"/>
    <w:rsid w:val="000F0647"/>
    <w:rsid w:val="000F0997"/>
    <w:rsid w:val="000F0B4B"/>
    <w:rsid w:val="000F1590"/>
    <w:rsid w:val="000F1890"/>
    <w:rsid w:val="000F1BDA"/>
    <w:rsid w:val="000F1C80"/>
    <w:rsid w:val="000F1D04"/>
    <w:rsid w:val="000F1D84"/>
    <w:rsid w:val="000F3354"/>
    <w:rsid w:val="000F45C3"/>
    <w:rsid w:val="000F48B1"/>
    <w:rsid w:val="000F5497"/>
    <w:rsid w:val="000F5BC9"/>
    <w:rsid w:val="000F5E86"/>
    <w:rsid w:val="000F6CA1"/>
    <w:rsid w:val="000F6E25"/>
    <w:rsid w:val="0010101C"/>
    <w:rsid w:val="00101950"/>
    <w:rsid w:val="00101A7E"/>
    <w:rsid w:val="00101DC2"/>
    <w:rsid w:val="00103D59"/>
    <w:rsid w:val="001042F3"/>
    <w:rsid w:val="001049B4"/>
    <w:rsid w:val="00104CDC"/>
    <w:rsid w:val="00104E45"/>
    <w:rsid w:val="00106DC0"/>
    <w:rsid w:val="00107D2C"/>
    <w:rsid w:val="00107F53"/>
    <w:rsid w:val="00110B47"/>
    <w:rsid w:val="001116F6"/>
    <w:rsid w:val="0011279A"/>
    <w:rsid w:val="00112B52"/>
    <w:rsid w:val="00112E72"/>
    <w:rsid w:val="001132EE"/>
    <w:rsid w:val="00114878"/>
    <w:rsid w:val="00114FFE"/>
    <w:rsid w:val="0011513D"/>
    <w:rsid w:val="00115E09"/>
    <w:rsid w:val="001161E9"/>
    <w:rsid w:val="001162F7"/>
    <w:rsid w:val="001168DF"/>
    <w:rsid w:val="001173AA"/>
    <w:rsid w:val="00120762"/>
    <w:rsid w:val="001208E6"/>
    <w:rsid w:val="00120AA1"/>
    <w:rsid w:val="00120F5A"/>
    <w:rsid w:val="00121611"/>
    <w:rsid w:val="00121EF1"/>
    <w:rsid w:val="001220CC"/>
    <w:rsid w:val="00122805"/>
    <w:rsid w:val="001237AB"/>
    <w:rsid w:val="001238E5"/>
    <w:rsid w:val="001257CA"/>
    <w:rsid w:val="00125B51"/>
    <w:rsid w:val="00125C23"/>
    <w:rsid w:val="00125DC2"/>
    <w:rsid w:val="00126636"/>
    <w:rsid w:val="00126AF1"/>
    <w:rsid w:val="00126B4E"/>
    <w:rsid w:val="00126E9D"/>
    <w:rsid w:val="001274F2"/>
    <w:rsid w:val="0012785A"/>
    <w:rsid w:val="00127BB5"/>
    <w:rsid w:val="00127E72"/>
    <w:rsid w:val="001300D1"/>
    <w:rsid w:val="00130D22"/>
    <w:rsid w:val="00130E37"/>
    <w:rsid w:val="00130EA7"/>
    <w:rsid w:val="00130EFD"/>
    <w:rsid w:val="001318C9"/>
    <w:rsid w:val="00131A84"/>
    <w:rsid w:val="00131CB3"/>
    <w:rsid w:val="00131E73"/>
    <w:rsid w:val="001330BB"/>
    <w:rsid w:val="00133282"/>
    <w:rsid w:val="00133B63"/>
    <w:rsid w:val="00134012"/>
    <w:rsid w:val="001341C2"/>
    <w:rsid w:val="001341CA"/>
    <w:rsid w:val="0013560E"/>
    <w:rsid w:val="00135D87"/>
    <w:rsid w:val="00140101"/>
    <w:rsid w:val="00140463"/>
    <w:rsid w:val="001407E1"/>
    <w:rsid w:val="0014125D"/>
    <w:rsid w:val="00141A55"/>
    <w:rsid w:val="00142122"/>
    <w:rsid w:val="00142131"/>
    <w:rsid w:val="0014218C"/>
    <w:rsid w:val="00142EE6"/>
    <w:rsid w:val="00142FE5"/>
    <w:rsid w:val="0014313B"/>
    <w:rsid w:val="0014332B"/>
    <w:rsid w:val="0014418E"/>
    <w:rsid w:val="00144F8E"/>
    <w:rsid w:val="001456BE"/>
    <w:rsid w:val="00145995"/>
    <w:rsid w:val="00145F9A"/>
    <w:rsid w:val="0014624D"/>
    <w:rsid w:val="00146AF5"/>
    <w:rsid w:val="00146B00"/>
    <w:rsid w:val="001471C4"/>
    <w:rsid w:val="001500B3"/>
    <w:rsid w:val="001504D1"/>
    <w:rsid w:val="00150AE0"/>
    <w:rsid w:val="001515CB"/>
    <w:rsid w:val="0015193F"/>
    <w:rsid w:val="0015197F"/>
    <w:rsid w:val="001519F1"/>
    <w:rsid w:val="00151C2A"/>
    <w:rsid w:val="00151EB1"/>
    <w:rsid w:val="001520FA"/>
    <w:rsid w:val="00152953"/>
    <w:rsid w:val="00153440"/>
    <w:rsid w:val="00153DEF"/>
    <w:rsid w:val="00153EF3"/>
    <w:rsid w:val="001540F8"/>
    <w:rsid w:val="00154530"/>
    <w:rsid w:val="00154C02"/>
    <w:rsid w:val="00154C85"/>
    <w:rsid w:val="00155B7D"/>
    <w:rsid w:val="00155C54"/>
    <w:rsid w:val="001563F7"/>
    <w:rsid w:val="00156FD4"/>
    <w:rsid w:val="00157897"/>
    <w:rsid w:val="00157CA2"/>
    <w:rsid w:val="00160C6C"/>
    <w:rsid w:val="001610BD"/>
    <w:rsid w:val="0016126D"/>
    <w:rsid w:val="00162099"/>
    <w:rsid w:val="00162B9B"/>
    <w:rsid w:val="0016387A"/>
    <w:rsid w:val="00163A7D"/>
    <w:rsid w:val="00164266"/>
    <w:rsid w:val="00164565"/>
    <w:rsid w:val="00164983"/>
    <w:rsid w:val="00164C0F"/>
    <w:rsid w:val="00164F89"/>
    <w:rsid w:val="00165490"/>
    <w:rsid w:val="001655A6"/>
    <w:rsid w:val="001656E8"/>
    <w:rsid w:val="0016586F"/>
    <w:rsid w:val="00165879"/>
    <w:rsid w:val="00165F83"/>
    <w:rsid w:val="0016620A"/>
    <w:rsid w:val="001666A3"/>
    <w:rsid w:val="00166746"/>
    <w:rsid w:val="00171C0A"/>
    <w:rsid w:val="00171EC7"/>
    <w:rsid w:val="00172455"/>
    <w:rsid w:val="0017295F"/>
    <w:rsid w:val="00173013"/>
    <w:rsid w:val="00173F06"/>
    <w:rsid w:val="0017443B"/>
    <w:rsid w:val="001749D6"/>
    <w:rsid w:val="00174E3C"/>
    <w:rsid w:val="0017533E"/>
    <w:rsid w:val="00175609"/>
    <w:rsid w:val="0017601E"/>
    <w:rsid w:val="00176699"/>
    <w:rsid w:val="001770F6"/>
    <w:rsid w:val="001771E0"/>
    <w:rsid w:val="00180421"/>
    <w:rsid w:val="00180A6B"/>
    <w:rsid w:val="00180B70"/>
    <w:rsid w:val="001811BE"/>
    <w:rsid w:val="001817AF"/>
    <w:rsid w:val="00181811"/>
    <w:rsid w:val="00182468"/>
    <w:rsid w:val="00182EBB"/>
    <w:rsid w:val="00183063"/>
    <w:rsid w:val="00183452"/>
    <w:rsid w:val="001836DA"/>
    <w:rsid w:val="00183AD0"/>
    <w:rsid w:val="00183BDD"/>
    <w:rsid w:val="00185327"/>
    <w:rsid w:val="0018552E"/>
    <w:rsid w:val="00185615"/>
    <w:rsid w:val="0018579E"/>
    <w:rsid w:val="00185897"/>
    <w:rsid w:val="00185B41"/>
    <w:rsid w:val="001863B1"/>
    <w:rsid w:val="00186829"/>
    <w:rsid w:val="001878F0"/>
    <w:rsid w:val="001879EC"/>
    <w:rsid w:val="0019140C"/>
    <w:rsid w:val="001915B5"/>
    <w:rsid w:val="00191B1C"/>
    <w:rsid w:val="0019283C"/>
    <w:rsid w:val="00193680"/>
    <w:rsid w:val="00193878"/>
    <w:rsid w:val="00194D61"/>
    <w:rsid w:val="001959E4"/>
    <w:rsid w:val="00196CD2"/>
    <w:rsid w:val="001A1378"/>
    <w:rsid w:val="001A17FE"/>
    <w:rsid w:val="001A2F49"/>
    <w:rsid w:val="001A34CB"/>
    <w:rsid w:val="001A3E9B"/>
    <w:rsid w:val="001A47B6"/>
    <w:rsid w:val="001A53AD"/>
    <w:rsid w:val="001A57D6"/>
    <w:rsid w:val="001A5A47"/>
    <w:rsid w:val="001A5C7D"/>
    <w:rsid w:val="001A5CFE"/>
    <w:rsid w:val="001A6D12"/>
    <w:rsid w:val="001A6DC9"/>
    <w:rsid w:val="001A7843"/>
    <w:rsid w:val="001A7AD1"/>
    <w:rsid w:val="001A7B59"/>
    <w:rsid w:val="001B01F4"/>
    <w:rsid w:val="001B03D4"/>
    <w:rsid w:val="001B08D3"/>
    <w:rsid w:val="001B0BC8"/>
    <w:rsid w:val="001B1012"/>
    <w:rsid w:val="001B1234"/>
    <w:rsid w:val="001B168E"/>
    <w:rsid w:val="001B196A"/>
    <w:rsid w:val="001B1A65"/>
    <w:rsid w:val="001B3654"/>
    <w:rsid w:val="001B36E5"/>
    <w:rsid w:val="001B4278"/>
    <w:rsid w:val="001B42C7"/>
    <w:rsid w:val="001B4360"/>
    <w:rsid w:val="001B4F30"/>
    <w:rsid w:val="001B7410"/>
    <w:rsid w:val="001B76AC"/>
    <w:rsid w:val="001B79CE"/>
    <w:rsid w:val="001C08BD"/>
    <w:rsid w:val="001C1230"/>
    <w:rsid w:val="001C1481"/>
    <w:rsid w:val="001C2288"/>
    <w:rsid w:val="001C2336"/>
    <w:rsid w:val="001C2985"/>
    <w:rsid w:val="001C38FC"/>
    <w:rsid w:val="001C3DA8"/>
    <w:rsid w:val="001C4485"/>
    <w:rsid w:val="001C4591"/>
    <w:rsid w:val="001C531D"/>
    <w:rsid w:val="001C575A"/>
    <w:rsid w:val="001C5C08"/>
    <w:rsid w:val="001C613D"/>
    <w:rsid w:val="001C753C"/>
    <w:rsid w:val="001D03F4"/>
    <w:rsid w:val="001D0946"/>
    <w:rsid w:val="001D0BEC"/>
    <w:rsid w:val="001D0F81"/>
    <w:rsid w:val="001D1E88"/>
    <w:rsid w:val="001D1F97"/>
    <w:rsid w:val="001D237C"/>
    <w:rsid w:val="001D245F"/>
    <w:rsid w:val="001D26EE"/>
    <w:rsid w:val="001D2A4D"/>
    <w:rsid w:val="001D3411"/>
    <w:rsid w:val="001D3864"/>
    <w:rsid w:val="001D3AF5"/>
    <w:rsid w:val="001D3FB8"/>
    <w:rsid w:val="001D4D01"/>
    <w:rsid w:val="001D55E8"/>
    <w:rsid w:val="001D5721"/>
    <w:rsid w:val="001D5A15"/>
    <w:rsid w:val="001D6A2F"/>
    <w:rsid w:val="001D7AB3"/>
    <w:rsid w:val="001E0023"/>
    <w:rsid w:val="001E08C8"/>
    <w:rsid w:val="001E0A34"/>
    <w:rsid w:val="001E127C"/>
    <w:rsid w:val="001E179E"/>
    <w:rsid w:val="001E194C"/>
    <w:rsid w:val="001E1C38"/>
    <w:rsid w:val="001E20DA"/>
    <w:rsid w:val="001E2D90"/>
    <w:rsid w:val="001E3B00"/>
    <w:rsid w:val="001E3C45"/>
    <w:rsid w:val="001E454B"/>
    <w:rsid w:val="001E4BB6"/>
    <w:rsid w:val="001E4D04"/>
    <w:rsid w:val="001E56DC"/>
    <w:rsid w:val="001E5EF1"/>
    <w:rsid w:val="001E6372"/>
    <w:rsid w:val="001E6B59"/>
    <w:rsid w:val="001E73B3"/>
    <w:rsid w:val="001E73DB"/>
    <w:rsid w:val="001E7950"/>
    <w:rsid w:val="001E7E9E"/>
    <w:rsid w:val="001F0301"/>
    <w:rsid w:val="001F0408"/>
    <w:rsid w:val="001F0728"/>
    <w:rsid w:val="001F16E5"/>
    <w:rsid w:val="001F1AB7"/>
    <w:rsid w:val="001F2261"/>
    <w:rsid w:val="001F22CB"/>
    <w:rsid w:val="001F2527"/>
    <w:rsid w:val="001F27D2"/>
    <w:rsid w:val="001F2902"/>
    <w:rsid w:val="001F3EED"/>
    <w:rsid w:val="001F3F88"/>
    <w:rsid w:val="001F472E"/>
    <w:rsid w:val="001F4E6B"/>
    <w:rsid w:val="001F547C"/>
    <w:rsid w:val="001F6654"/>
    <w:rsid w:val="001F6853"/>
    <w:rsid w:val="001F68E8"/>
    <w:rsid w:val="001F6AF3"/>
    <w:rsid w:val="001F7806"/>
    <w:rsid w:val="0020064B"/>
    <w:rsid w:val="00201579"/>
    <w:rsid w:val="00201665"/>
    <w:rsid w:val="00201FEB"/>
    <w:rsid w:val="002029E4"/>
    <w:rsid w:val="00202DDE"/>
    <w:rsid w:val="002033E9"/>
    <w:rsid w:val="00203D2E"/>
    <w:rsid w:val="00204802"/>
    <w:rsid w:val="00204F53"/>
    <w:rsid w:val="00205701"/>
    <w:rsid w:val="00205A4E"/>
    <w:rsid w:val="00205DE0"/>
    <w:rsid w:val="00205E69"/>
    <w:rsid w:val="00205F08"/>
    <w:rsid w:val="0020757D"/>
    <w:rsid w:val="00207E27"/>
    <w:rsid w:val="00210B9E"/>
    <w:rsid w:val="00211CCB"/>
    <w:rsid w:val="00212BAE"/>
    <w:rsid w:val="00212FEA"/>
    <w:rsid w:val="002154B3"/>
    <w:rsid w:val="002156FF"/>
    <w:rsid w:val="00216324"/>
    <w:rsid w:val="00216502"/>
    <w:rsid w:val="00216C29"/>
    <w:rsid w:val="00217468"/>
    <w:rsid w:val="002178E4"/>
    <w:rsid w:val="00217C77"/>
    <w:rsid w:val="00217F8D"/>
    <w:rsid w:val="002200BD"/>
    <w:rsid w:val="002207F3"/>
    <w:rsid w:val="00221A72"/>
    <w:rsid w:val="00221E6A"/>
    <w:rsid w:val="00222123"/>
    <w:rsid w:val="0022239A"/>
    <w:rsid w:val="00222EBC"/>
    <w:rsid w:val="0022307C"/>
    <w:rsid w:val="00223EA1"/>
    <w:rsid w:val="00224EB6"/>
    <w:rsid w:val="002258F2"/>
    <w:rsid w:val="00225A74"/>
    <w:rsid w:val="00225B67"/>
    <w:rsid w:val="00225EF4"/>
    <w:rsid w:val="002266BC"/>
    <w:rsid w:val="00226A20"/>
    <w:rsid w:val="00226D22"/>
    <w:rsid w:val="002274B4"/>
    <w:rsid w:val="00230BCF"/>
    <w:rsid w:val="00230C59"/>
    <w:rsid w:val="00231318"/>
    <w:rsid w:val="00231F51"/>
    <w:rsid w:val="00232F57"/>
    <w:rsid w:val="00233832"/>
    <w:rsid w:val="0023418F"/>
    <w:rsid w:val="002344AE"/>
    <w:rsid w:val="002352C0"/>
    <w:rsid w:val="0023569A"/>
    <w:rsid w:val="002356F2"/>
    <w:rsid w:val="002357AB"/>
    <w:rsid w:val="00235B72"/>
    <w:rsid w:val="00235E65"/>
    <w:rsid w:val="00236B7F"/>
    <w:rsid w:val="00236F59"/>
    <w:rsid w:val="0023753B"/>
    <w:rsid w:val="00240018"/>
    <w:rsid w:val="00240CD6"/>
    <w:rsid w:val="00241627"/>
    <w:rsid w:val="00241D27"/>
    <w:rsid w:val="002421AF"/>
    <w:rsid w:val="00242CDD"/>
    <w:rsid w:val="00243554"/>
    <w:rsid w:val="00243C44"/>
    <w:rsid w:val="002445F9"/>
    <w:rsid w:val="002446D2"/>
    <w:rsid w:val="002448E8"/>
    <w:rsid w:val="002451D1"/>
    <w:rsid w:val="0024580A"/>
    <w:rsid w:val="00245929"/>
    <w:rsid w:val="0024662C"/>
    <w:rsid w:val="00246AFB"/>
    <w:rsid w:val="00247248"/>
    <w:rsid w:val="002478FE"/>
    <w:rsid w:val="00247CB8"/>
    <w:rsid w:val="00251093"/>
    <w:rsid w:val="002515A8"/>
    <w:rsid w:val="00251FB8"/>
    <w:rsid w:val="00252381"/>
    <w:rsid w:val="00252383"/>
    <w:rsid w:val="00252A79"/>
    <w:rsid w:val="002531FB"/>
    <w:rsid w:val="00253B75"/>
    <w:rsid w:val="00253C59"/>
    <w:rsid w:val="00254003"/>
    <w:rsid w:val="0025445A"/>
    <w:rsid w:val="0025503F"/>
    <w:rsid w:val="00255C92"/>
    <w:rsid w:val="00256291"/>
    <w:rsid w:val="002566FD"/>
    <w:rsid w:val="00257799"/>
    <w:rsid w:val="00260C37"/>
    <w:rsid w:val="00260D08"/>
    <w:rsid w:val="00262D29"/>
    <w:rsid w:val="00262DE4"/>
    <w:rsid w:val="00262FD5"/>
    <w:rsid w:val="00263730"/>
    <w:rsid w:val="002637A5"/>
    <w:rsid w:val="002642A8"/>
    <w:rsid w:val="002642CC"/>
    <w:rsid w:val="00264547"/>
    <w:rsid w:val="0026497B"/>
    <w:rsid w:val="00264AC4"/>
    <w:rsid w:val="00265C34"/>
    <w:rsid w:val="00265FCD"/>
    <w:rsid w:val="00266272"/>
    <w:rsid w:val="00267759"/>
    <w:rsid w:val="00267784"/>
    <w:rsid w:val="00267BB9"/>
    <w:rsid w:val="00267D8D"/>
    <w:rsid w:val="00270730"/>
    <w:rsid w:val="00270BC9"/>
    <w:rsid w:val="00271B31"/>
    <w:rsid w:val="00271DFC"/>
    <w:rsid w:val="00272852"/>
    <w:rsid w:val="0027322B"/>
    <w:rsid w:val="00273246"/>
    <w:rsid w:val="002738D2"/>
    <w:rsid w:val="00273D92"/>
    <w:rsid w:val="0027422B"/>
    <w:rsid w:val="00274505"/>
    <w:rsid w:val="002745D7"/>
    <w:rsid w:val="00274620"/>
    <w:rsid w:val="00275810"/>
    <w:rsid w:val="002769F7"/>
    <w:rsid w:val="00276A4A"/>
    <w:rsid w:val="00276F79"/>
    <w:rsid w:val="002779E9"/>
    <w:rsid w:val="00280614"/>
    <w:rsid w:val="00280A31"/>
    <w:rsid w:val="00280B51"/>
    <w:rsid w:val="002813F0"/>
    <w:rsid w:val="00282A81"/>
    <w:rsid w:val="00282D27"/>
    <w:rsid w:val="0028357E"/>
    <w:rsid w:val="00283D7C"/>
    <w:rsid w:val="0028457E"/>
    <w:rsid w:val="00284785"/>
    <w:rsid w:val="00284CD4"/>
    <w:rsid w:val="00284DF5"/>
    <w:rsid w:val="00284F9C"/>
    <w:rsid w:val="002857AB"/>
    <w:rsid w:val="002859F3"/>
    <w:rsid w:val="00286118"/>
    <w:rsid w:val="00286BC6"/>
    <w:rsid w:val="002875A1"/>
    <w:rsid w:val="00287CC0"/>
    <w:rsid w:val="00287F4F"/>
    <w:rsid w:val="002916C8"/>
    <w:rsid w:val="00291A13"/>
    <w:rsid w:val="002936E1"/>
    <w:rsid w:val="00293E7F"/>
    <w:rsid w:val="00294059"/>
    <w:rsid w:val="002946EB"/>
    <w:rsid w:val="002952F3"/>
    <w:rsid w:val="0029569D"/>
    <w:rsid w:val="00295E94"/>
    <w:rsid w:val="00295F4D"/>
    <w:rsid w:val="00296022"/>
    <w:rsid w:val="00296A48"/>
    <w:rsid w:val="00297145"/>
    <w:rsid w:val="00297752"/>
    <w:rsid w:val="00297B59"/>
    <w:rsid w:val="002A02D1"/>
    <w:rsid w:val="002A04D5"/>
    <w:rsid w:val="002A07F7"/>
    <w:rsid w:val="002A0825"/>
    <w:rsid w:val="002A1B66"/>
    <w:rsid w:val="002A1D8E"/>
    <w:rsid w:val="002A228B"/>
    <w:rsid w:val="002A28C8"/>
    <w:rsid w:val="002A2B6C"/>
    <w:rsid w:val="002A2E79"/>
    <w:rsid w:val="002A323B"/>
    <w:rsid w:val="002A4B11"/>
    <w:rsid w:val="002A51CD"/>
    <w:rsid w:val="002A5BA3"/>
    <w:rsid w:val="002A5BAC"/>
    <w:rsid w:val="002A7335"/>
    <w:rsid w:val="002A754E"/>
    <w:rsid w:val="002A796F"/>
    <w:rsid w:val="002B022F"/>
    <w:rsid w:val="002B0473"/>
    <w:rsid w:val="002B0936"/>
    <w:rsid w:val="002B11C6"/>
    <w:rsid w:val="002B1398"/>
    <w:rsid w:val="002B1D57"/>
    <w:rsid w:val="002B3476"/>
    <w:rsid w:val="002B38EA"/>
    <w:rsid w:val="002B3DA2"/>
    <w:rsid w:val="002B3F0C"/>
    <w:rsid w:val="002B42DF"/>
    <w:rsid w:val="002B44FE"/>
    <w:rsid w:val="002B4500"/>
    <w:rsid w:val="002B4B1F"/>
    <w:rsid w:val="002B4B67"/>
    <w:rsid w:val="002B5505"/>
    <w:rsid w:val="002B59C4"/>
    <w:rsid w:val="002B7E03"/>
    <w:rsid w:val="002B7FBF"/>
    <w:rsid w:val="002C079D"/>
    <w:rsid w:val="002C16EC"/>
    <w:rsid w:val="002C1F69"/>
    <w:rsid w:val="002C25FD"/>
    <w:rsid w:val="002C2701"/>
    <w:rsid w:val="002C2EBE"/>
    <w:rsid w:val="002C32B8"/>
    <w:rsid w:val="002C35AC"/>
    <w:rsid w:val="002C48F7"/>
    <w:rsid w:val="002C5330"/>
    <w:rsid w:val="002C538F"/>
    <w:rsid w:val="002C6C93"/>
    <w:rsid w:val="002C6D0C"/>
    <w:rsid w:val="002C72C3"/>
    <w:rsid w:val="002C74F9"/>
    <w:rsid w:val="002C78A2"/>
    <w:rsid w:val="002C7F59"/>
    <w:rsid w:val="002D03F3"/>
    <w:rsid w:val="002D04E8"/>
    <w:rsid w:val="002D0BB2"/>
    <w:rsid w:val="002D0CBB"/>
    <w:rsid w:val="002D1A03"/>
    <w:rsid w:val="002D1A10"/>
    <w:rsid w:val="002D1A1A"/>
    <w:rsid w:val="002D2234"/>
    <w:rsid w:val="002D2C0F"/>
    <w:rsid w:val="002D3131"/>
    <w:rsid w:val="002D388D"/>
    <w:rsid w:val="002D3B6E"/>
    <w:rsid w:val="002D3D4A"/>
    <w:rsid w:val="002D48B6"/>
    <w:rsid w:val="002D48D1"/>
    <w:rsid w:val="002D4A01"/>
    <w:rsid w:val="002D55A0"/>
    <w:rsid w:val="002D56D7"/>
    <w:rsid w:val="002D5895"/>
    <w:rsid w:val="002D5B9A"/>
    <w:rsid w:val="002D6831"/>
    <w:rsid w:val="002D72F1"/>
    <w:rsid w:val="002E01D5"/>
    <w:rsid w:val="002E0742"/>
    <w:rsid w:val="002E1654"/>
    <w:rsid w:val="002E1780"/>
    <w:rsid w:val="002E230E"/>
    <w:rsid w:val="002E24C7"/>
    <w:rsid w:val="002E2A75"/>
    <w:rsid w:val="002E2D4F"/>
    <w:rsid w:val="002E2D71"/>
    <w:rsid w:val="002E2DEA"/>
    <w:rsid w:val="002E2EDE"/>
    <w:rsid w:val="002E2F7E"/>
    <w:rsid w:val="002E36C1"/>
    <w:rsid w:val="002E3ADF"/>
    <w:rsid w:val="002E42E4"/>
    <w:rsid w:val="002E4327"/>
    <w:rsid w:val="002E48CC"/>
    <w:rsid w:val="002E4BE8"/>
    <w:rsid w:val="002E5942"/>
    <w:rsid w:val="002E6203"/>
    <w:rsid w:val="002E693F"/>
    <w:rsid w:val="002E6B07"/>
    <w:rsid w:val="002E70C9"/>
    <w:rsid w:val="002E7817"/>
    <w:rsid w:val="002E7C9C"/>
    <w:rsid w:val="002F09B3"/>
    <w:rsid w:val="002F1E1B"/>
    <w:rsid w:val="002F1FB4"/>
    <w:rsid w:val="002F210B"/>
    <w:rsid w:val="002F2FCD"/>
    <w:rsid w:val="002F309D"/>
    <w:rsid w:val="002F3518"/>
    <w:rsid w:val="002F359E"/>
    <w:rsid w:val="002F4566"/>
    <w:rsid w:val="002F474B"/>
    <w:rsid w:val="002F4E98"/>
    <w:rsid w:val="002F53D5"/>
    <w:rsid w:val="002F5B8D"/>
    <w:rsid w:val="002F6321"/>
    <w:rsid w:val="002F77E3"/>
    <w:rsid w:val="00300685"/>
    <w:rsid w:val="00300766"/>
    <w:rsid w:val="00300792"/>
    <w:rsid w:val="0030200A"/>
    <w:rsid w:val="00302D52"/>
    <w:rsid w:val="00303366"/>
    <w:rsid w:val="003036ED"/>
    <w:rsid w:val="003046EB"/>
    <w:rsid w:val="003050CB"/>
    <w:rsid w:val="003055EC"/>
    <w:rsid w:val="0030627D"/>
    <w:rsid w:val="0030696E"/>
    <w:rsid w:val="00310141"/>
    <w:rsid w:val="003103C1"/>
    <w:rsid w:val="003107DD"/>
    <w:rsid w:val="00310CE9"/>
    <w:rsid w:val="00311305"/>
    <w:rsid w:val="0031152A"/>
    <w:rsid w:val="00313085"/>
    <w:rsid w:val="0031329A"/>
    <w:rsid w:val="00313D3B"/>
    <w:rsid w:val="00314E98"/>
    <w:rsid w:val="00314F7F"/>
    <w:rsid w:val="003152CE"/>
    <w:rsid w:val="00315AF9"/>
    <w:rsid w:val="00316242"/>
    <w:rsid w:val="0031743F"/>
    <w:rsid w:val="0031745B"/>
    <w:rsid w:val="00317ACF"/>
    <w:rsid w:val="00317B55"/>
    <w:rsid w:val="00317D43"/>
    <w:rsid w:val="00317DD4"/>
    <w:rsid w:val="0031955A"/>
    <w:rsid w:val="003208F4"/>
    <w:rsid w:val="00320EA1"/>
    <w:rsid w:val="003212CB"/>
    <w:rsid w:val="0032287E"/>
    <w:rsid w:val="00323480"/>
    <w:rsid w:val="00323F8D"/>
    <w:rsid w:val="00324AF0"/>
    <w:rsid w:val="00324C32"/>
    <w:rsid w:val="00325367"/>
    <w:rsid w:val="00325F41"/>
    <w:rsid w:val="00326D32"/>
    <w:rsid w:val="00327042"/>
    <w:rsid w:val="003274EE"/>
    <w:rsid w:val="00330643"/>
    <w:rsid w:val="00331139"/>
    <w:rsid w:val="00331730"/>
    <w:rsid w:val="00331B3D"/>
    <w:rsid w:val="00331BBA"/>
    <w:rsid w:val="0033251E"/>
    <w:rsid w:val="00332D2F"/>
    <w:rsid w:val="0033336A"/>
    <w:rsid w:val="003333E6"/>
    <w:rsid w:val="00333526"/>
    <w:rsid w:val="00335A7E"/>
    <w:rsid w:val="00335A84"/>
    <w:rsid w:val="00335C65"/>
    <w:rsid w:val="0033646F"/>
    <w:rsid w:val="00337015"/>
    <w:rsid w:val="00337BDF"/>
    <w:rsid w:val="00341589"/>
    <w:rsid w:val="003416DD"/>
    <w:rsid w:val="00341FA5"/>
    <w:rsid w:val="003420D5"/>
    <w:rsid w:val="00342CAE"/>
    <w:rsid w:val="00343130"/>
    <w:rsid w:val="00343CAE"/>
    <w:rsid w:val="00343E08"/>
    <w:rsid w:val="0034402C"/>
    <w:rsid w:val="003456FB"/>
    <w:rsid w:val="00346103"/>
    <w:rsid w:val="003467B9"/>
    <w:rsid w:val="00346DAB"/>
    <w:rsid w:val="003470FB"/>
    <w:rsid w:val="00347189"/>
    <w:rsid w:val="003472ED"/>
    <w:rsid w:val="0034734F"/>
    <w:rsid w:val="003473B5"/>
    <w:rsid w:val="00347402"/>
    <w:rsid w:val="003474F3"/>
    <w:rsid w:val="0035168D"/>
    <w:rsid w:val="003519E0"/>
    <w:rsid w:val="0035204A"/>
    <w:rsid w:val="003524C0"/>
    <w:rsid w:val="0035290B"/>
    <w:rsid w:val="00352D63"/>
    <w:rsid w:val="00352F2D"/>
    <w:rsid w:val="00352FC6"/>
    <w:rsid w:val="00353AEE"/>
    <w:rsid w:val="0035436A"/>
    <w:rsid w:val="00354384"/>
    <w:rsid w:val="00354BE0"/>
    <w:rsid w:val="003554D6"/>
    <w:rsid w:val="003557EC"/>
    <w:rsid w:val="00356AFC"/>
    <w:rsid w:val="0035702D"/>
    <w:rsid w:val="00357044"/>
    <w:rsid w:val="00357A2B"/>
    <w:rsid w:val="0036013D"/>
    <w:rsid w:val="003602B4"/>
    <w:rsid w:val="00360557"/>
    <w:rsid w:val="003609D7"/>
    <w:rsid w:val="0036117E"/>
    <w:rsid w:val="0036140C"/>
    <w:rsid w:val="00361436"/>
    <w:rsid w:val="003614E5"/>
    <w:rsid w:val="00361E1B"/>
    <w:rsid w:val="00363B08"/>
    <w:rsid w:val="00363B36"/>
    <w:rsid w:val="00364148"/>
    <w:rsid w:val="00365556"/>
    <w:rsid w:val="00366049"/>
    <w:rsid w:val="003673FE"/>
    <w:rsid w:val="00367AD8"/>
    <w:rsid w:val="00370C48"/>
    <w:rsid w:val="00370C51"/>
    <w:rsid w:val="0037276F"/>
    <w:rsid w:val="00372770"/>
    <w:rsid w:val="00373147"/>
    <w:rsid w:val="003752BC"/>
    <w:rsid w:val="003762D3"/>
    <w:rsid w:val="00376365"/>
    <w:rsid w:val="00376609"/>
    <w:rsid w:val="00376EB9"/>
    <w:rsid w:val="003771CF"/>
    <w:rsid w:val="0037A062"/>
    <w:rsid w:val="003801AB"/>
    <w:rsid w:val="00380C27"/>
    <w:rsid w:val="00380E3F"/>
    <w:rsid w:val="00380F51"/>
    <w:rsid w:val="00381460"/>
    <w:rsid w:val="00381DAA"/>
    <w:rsid w:val="00382802"/>
    <w:rsid w:val="00382A8E"/>
    <w:rsid w:val="00382AAA"/>
    <w:rsid w:val="00382D81"/>
    <w:rsid w:val="00382E8C"/>
    <w:rsid w:val="003833C3"/>
    <w:rsid w:val="00383979"/>
    <w:rsid w:val="00383AFA"/>
    <w:rsid w:val="00384840"/>
    <w:rsid w:val="00384B79"/>
    <w:rsid w:val="00385CB0"/>
    <w:rsid w:val="00385E85"/>
    <w:rsid w:val="00386C0E"/>
    <w:rsid w:val="0038727D"/>
    <w:rsid w:val="003872A8"/>
    <w:rsid w:val="003877DF"/>
    <w:rsid w:val="0039013D"/>
    <w:rsid w:val="003904BE"/>
    <w:rsid w:val="00391608"/>
    <w:rsid w:val="00391B65"/>
    <w:rsid w:val="003921CE"/>
    <w:rsid w:val="00392494"/>
    <w:rsid w:val="00392565"/>
    <w:rsid w:val="00392633"/>
    <w:rsid w:val="003938D8"/>
    <w:rsid w:val="00394D75"/>
    <w:rsid w:val="00395282"/>
    <w:rsid w:val="003953CA"/>
    <w:rsid w:val="00395A20"/>
    <w:rsid w:val="0039641B"/>
    <w:rsid w:val="003968B1"/>
    <w:rsid w:val="00396FE2"/>
    <w:rsid w:val="00397136"/>
    <w:rsid w:val="003971AD"/>
    <w:rsid w:val="00397246"/>
    <w:rsid w:val="003974B3"/>
    <w:rsid w:val="003978BB"/>
    <w:rsid w:val="003A024E"/>
    <w:rsid w:val="003A07A0"/>
    <w:rsid w:val="003A0AE5"/>
    <w:rsid w:val="003A0FB8"/>
    <w:rsid w:val="003A14C2"/>
    <w:rsid w:val="003A1AB3"/>
    <w:rsid w:val="003A2B1C"/>
    <w:rsid w:val="003A2BD7"/>
    <w:rsid w:val="003A4029"/>
    <w:rsid w:val="003A404C"/>
    <w:rsid w:val="003A4C4F"/>
    <w:rsid w:val="003A5DEE"/>
    <w:rsid w:val="003A7829"/>
    <w:rsid w:val="003A7A64"/>
    <w:rsid w:val="003A7D11"/>
    <w:rsid w:val="003B0974"/>
    <w:rsid w:val="003B1239"/>
    <w:rsid w:val="003B136C"/>
    <w:rsid w:val="003B24D5"/>
    <w:rsid w:val="003B300B"/>
    <w:rsid w:val="003B36AC"/>
    <w:rsid w:val="003B3BF6"/>
    <w:rsid w:val="003B44BC"/>
    <w:rsid w:val="003B495E"/>
    <w:rsid w:val="003B4A05"/>
    <w:rsid w:val="003B4A88"/>
    <w:rsid w:val="003B54C8"/>
    <w:rsid w:val="003B59C5"/>
    <w:rsid w:val="003B6305"/>
    <w:rsid w:val="003B6490"/>
    <w:rsid w:val="003B6F7D"/>
    <w:rsid w:val="003B7223"/>
    <w:rsid w:val="003B7565"/>
    <w:rsid w:val="003C0702"/>
    <w:rsid w:val="003C0839"/>
    <w:rsid w:val="003C1006"/>
    <w:rsid w:val="003C2075"/>
    <w:rsid w:val="003C22AC"/>
    <w:rsid w:val="003C2460"/>
    <w:rsid w:val="003C2A78"/>
    <w:rsid w:val="003C2B71"/>
    <w:rsid w:val="003C34E6"/>
    <w:rsid w:val="003C3885"/>
    <w:rsid w:val="003C3BB7"/>
    <w:rsid w:val="003C3F63"/>
    <w:rsid w:val="003C4311"/>
    <w:rsid w:val="003C44F7"/>
    <w:rsid w:val="003C4876"/>
    <w:rsid w:val="003C4B22"/>
    <w:rsid w:val="003C503E"/>
    <w:rsid w:val="003C5B9D"/>
    <w:rsid w:val="003C5F8E"/>
    <w:rsid w:val="003C62A4"/>
    <w:rsid w:val="003C6DE2"/>
    <w:rsid w:val="003C78DC"/>
    <w:rsid w:val="003D1485"/>
    <w:rsid w:val="003D1B1C"/>
    <w:rsid w:val="003D1E1C"/>
    <w:rsid w:val="003D31F7"/>
    <w:rsid w:val="003D3677"/>
    <w:rsid w:val="003D37DC"/>
    <w:rsid w:val="003D454C"/>
    <w:rsid w:val="003D4D01"/>
    <w:rsid w:val="003D4DA3"/>
    <w:rsid w:val="003D66B0"/>
    <w:rsid w:val="003D681E"/>
    <w:rsid w:val="003D6B7B"/>
    <w:rsid w:val="003D6F4F"/>
    <w:rsid w:val="003D7008"/>
    <w:rsid w:val="003D72D0"/>
    <w:rsid w:val="003E0265"/>
    <w:rsid w:val="003E0682"/>
    <w:rsid w:val="003E1478"/>
    <w:rsid w:val="003E1DAA"/>
    <w:rsid w:val="003E2459"/>
    <w:rsid w:val="003E2CBD"/>
    <w:rsid w:val="003E2E18"/>
    <w:rsid w:val="003E3337"/>
    <w:rsid w:val="003E3500"/>
    <w:rsid w:val="003E4BC3"/>
    <w:rsid w:val="003E4C01"/>
    <w:rsid w:val="003E4EF4"/>
    <w:rsid w:val="003E5246"/>
    <w:rsid w:val="003E533B"/>
    <w:rsid w:val="003E5A8B"/>
    <w:rsid w:val="003E69CD"/>
    <w:rsid w:val="003E6E2C"/>
    <w:rsid w:val="003E7CDA"/>
    <w:rsid w:val="003F0471"/>
    <w:rsid w:val="003F173F"/>
    <w:rsid w:val="003F1C49"/>
    <w:rsid w:val="003F1C6D"/>
    <w:rsid w:val="003F1FB6"/>
    <w:rsid w:val="003F22FB"/>
    <w:rsid w:val="003F2358"/>
    <w:rsid w:val="003F3156"/>
    <w:rsid w:val="003F3752"/>
    <w:rsid w:val="003F3916"/>
    <w:rsid w:val="003F3CA4"/>
    <w:rsid w:val="003F3CC8"/>
    <w:rsid w:val="003F3D2C"/>
    <w:rsid w:val="003F3E0B"/>
    <w:rsid w:val="003F3ECB"/>
    <w:rsid w:val="003F4802"/>
    <w:rsid w:val="003F48B5"/>
    <w:rsid w:val="003F539A"/>
    <w:rsid w:val="003F590D"/>
    <w:rsid w:val="003F5BD5"/>
    <w:rsid w:val="003F5DB1"/>
    <w:rsid w:val="003F656E"/>
    <w:rsid w:val="003F6D22"/>
    <w:rsid w:val="003F6F43"/>
    <w:rsid w:val="003F76E3"/>
    <w:rsid w:val="00400385"/>
    <w:rsid w:val="004003E7"/>
    <w:rsid w:val="0040115E"/>
    <w:rsid w:val="0040215C"/>
    <w:rsid w:val="00402DE5"/>
    <w:rsid w:val="00402F78"/>
    <w:rsid w:val="00403566"/>
    <w:rsid w:val="00403DC8"/>
    <w:rsid w:val="0040472A"/>
    <w:rsid w:val="00404812"/>
    <w:rsid w:val="00404D39"/>
    <w:rsid w:val="00405086"/>
    <w:rsid w:val="00405434"/>
    <w:rsid w:val="00406BB3"/>
    <w:rsid w:val="00407070"/>
    <w:rsid w:val="0040742D"/>
    <w:rsid w:val="00410D9E"/>
    <w:rsid w:val="0041131C"/>
    <w:rsid w:val="004113D8"/>
    <w:rsid w:val="004119FE"/>
    <w:rsid w:val="004126C6"/>
    <w:rsid w:val="00412ABB"/>
    <w:rsid w:val="00412F16"/>
    <w:rsid w:val="004133B1"/>
    <w:rsid w:val="00413806"/>
    <w:rsid w:val="004138B3"/>
    <w:rsid w:val="00413AFD"/>
    <w:rsid w:val="00413FA2"/>
    <w:rsid w:val="00414639"/>
    <w:rsid w:val="0041467C"/>
    <w:rsid w:val="00415C6E"/>
    <w:rsid w:val="0041663B"/>
    <w:rsid w:val="00416D78"/>
    <w:rsid w:val="00416E23"/>
    <w:rsid w:val="00417B45"/>
    <w:rsid w:val="00417EDE"/>
    <w:rsid w:val="00421587"/>
    <w:rsid w:val="00421B5B"/>
    <w:rsid w:val="00422D93"/>
    <w:rsid w:val="0042367C"/>
    <w:rsid w:val="00424C67"/>
    <w:rsid w:val="004269C1"/>
    <w:rsid w:val="00426E28"/>
    <w:rsid w:val="0042783F"/>
    <w:rsid w:val="00427D74"/>
    <w:rsid w:val="00430047"/>
    <w:rsid w:val="00430232"/>
    <w:rsid w:val="0043065C"/>
    <w:rsid w:val="0043070B"/>
    <w:rsid w:val="00431429"/>
    <w:rsid w:val="004321E4"/>
    <w:rsid w:val="00432EDA"/>
    <w:rsid w:val="004332DA"/>
    <w:rsid w:val="004343CA"/>
    <w:rsid w:val="00434C92"/>
    <w:rsid w:val="00436AF1"/>
    <w:rsid w:val="00436BE6"/>
    <w:rsid w:val="00436EAC"/>
    <w:rsid w:val="00437C7A"/>
    <w:rsid w:val="00440105"/>
    <w:rsid w:val="004403AB"/>
    <w:rsid w:val="004403C8"/>
    <w:rsid w:val="00440678"/>
    <w:rsid w:val="004411C9"/>
    <w:rsid w:val="004412C9"/>
    <w:rsid w:val="0044299B"/>
    <w:rsid w:val="00443709"/>
    <w:rsid w:val="00443A5B"/>
    <w:rsid w:val="0044420A"/>
    <w:rsid w:val="00444523"/>
    <w:rsid w:val="00444DB2"/>
    <w:rsid w:val="004450DF"/>
    <w:rsid w:val="004458B1"/>
    <w:rsid w:val="00445DD4"/>
    <w:rsid w:val="00446172"/>
    <w:rsid w:val="00447525"/>
    <w:rsid w:val="004510BB"/>
    <w:rsid w:val="00451488"/>
    <w:rsid w:val="004516F9"/>
    <w:rsid w:val="00451912"/>
    <w:rsid w:val="004519A7"/>
    <w:rsid w:val="00452824"/>
    <w:rsid w:val="00452C33"/>
    <w:rsid w:val="00452F41"/>
    <w:rsid w:val="0045329B"/>
    <w:rsid w:val="00453E16"/>
    <w:rsid w:val="004541D9"/>
    <w:rsid w:val="00455663"/>
    <w:rsid w:val="00455F64"/>
    <w:rsid w:val="00456A8F"/>
    <w:rsid w:val="00457623"/>
    <w:rsid w:val="00457E85"/>
    <w:rsid w:val="00460AA8"/>
    <w:rsid w:val="004617D2"/>
    <w:rsid w:val="004618F2"/>
    <w:rsid w:val="00463384"/>
    <w:rsid w:val="00464025"/>
    <w:rsid w:val="00464C8F"/>
    <w:rsid w:val="00465086"/>
    <w:rsid w:val="004652A4"/>
    <w:rsid w:val="00465318"/>
    <w:rsid w:val="00465403"/>
    <w:rsid w:val="00465601"/>
    <w:rsid w:val="0046565B"/>
    <w:rsid w:val="004672E5"/>
    <w:rsid w:val="00467345"/>
    <w:rsid w:val="0046737C"/>
    <w:rsid w:val="00467C9A"/>
    <w:rsid w:val="00467DFF"/>
    <w:rsid w:val="00470A18"/>
    <w:rsid w:val="00470B11"/>
    <w:rsid w:val="00470B70"/>
    <w:rsid w:val="004712BB"/>
    <w:rsid w:val="0047178C"/>
    <w:rsid w:val="00471D5A"/>
    <w:rsid w:val="00472304"/>
    <w:rsid w:val="004733EA"/>
    <w:rsid w:val="004734FB"/>
    <w:rsid w:val="00473D74"/>
    <w:rsid w:val="00474EB9"/>
    <w:rsid w:val="0047604B"/>
    <w:rsid w:val="0047639C"/>
    <w:rsid w:val="00477EA1"/>
    <w:rsid w:val="0048061C"/>
    <w:rsid w:val="00480BE5"/>
    <w:rsid w:val="00481BED"/>
    <w:rsid w:val="00481C14"/>
    <w:rsid w:val="00482044"/>
    <w:rsid w:val="0048212E"/>
    <w:rsid w:val="0048261D"/>
    <w:rsid w:val="00482C19"/>
    <w:rsid w:val="00483214"/>
    <w:rsid w:val="00483386"/>
    <w:rsid w:val="00483F43"/>
    <w:rsid w:val="0048420A"/>
    <w:rsid w:val="004850A7"/>
    <w:rsid w:val="004865CE"/>
    <w:rsid w:val="004866FD"/>
    <w:rsid w:val="0048684B"/>
    <w:rsid w:val="0048738A"/>
    <w:rsid w:val="0048775D"/>
    <w:rsid w:val="00487A33"/>
    <w:rsid w:val="004901A9"/>
    <w:rsid w:val="00490E2B"/>
    <w:rsid w:val="0049113F"/>
    <w:rsid w:val="004916B0"/>
    <w:rsid w:val="00491FCE"/>
    <w:rsid w:val="0049222A"/>
    <w:rsid w:val="004928B8"/>
    <w:rsid w:val="004929D8"/>
    <w:rsid w:val="00492BFA"/>
    <w:rsid w:val="00493241"/>
    <w:rsid w:val="00493B27"/>
    <w:rsid w:val="00494692"/>
    <w:rsid w:val="00494904"/>
    <w:rsid w:val="00494A97"/>
    <w:rsid w:val="00494E9D"/>
    <w:rsid w:val="00495950"/>
    <w:rsid w:val="00495ABB"/>
    <w:rsid w:val="004962B4"/>
    <w:rsid w:val="004964AA"/>
    <w:rsid w:val="00497135"/>
    <w:rsid w:val="004A0572"/>
    <w:rsid w:val="004A2244"/>
    <w:rsid w:val="004A235F"/>
    <w:rsid w:val="004A24E8"/>
    <w:rsid w:val="004A33BB"/>
    <w:rsid w:val="004A33FC"/>
    <w:rsid w:val="004A4841"/>
    <w:rsid w:val="004A4A27"/>
    <w:rsid w:val="004A5649"/>
    <w:rsid w:val="004A6A05"/>
    <w:rsid w:val="004A725C"/>
    <w:rsid w:val="004A7FC3"/>
    <w:rsid w:val="004B02C4"/>
    <w:rsid w:val="004B0346"/>
    <w:rsid w:val="004B062C"/>
    <w:rsid w:val="004B0E5F"/>
    <w:rsid w:val="004B1282"/>
    <w:rsid w:val="004B1AB0"/>
    <w:rsid w:val="004B2B31"/>
    <w:rsid w:val="004B35A1"/>
    <w:rsid w:val="004B35F7"/>
    <w:rsid w:val="004B4DF4"/>
    <w:rsid w:val="004B5650"/>
    <w:rsid w:val="004B591B"/>
    <w:rsid w:val="004B6997"/>
    <w:rsid w:val="004B6DB4"/>
    <w:rsid w:val="004B720F"/>
    <w:rsid w:val="004C0D1B"/>
    <w:rsid w:val="004C19B7"/>
    <w:rsid w:val="004C1B11"/>
    <w:rsid w:val="004C5229"/>
    <w:rsid w:val="004C6CB3"/>
    <w:rsid w:val="004C7369"/>
    <w:rsid w:val="004C776C"/>
    <w:rsid w:val="004D0060"/>
    <w:rsid w:val="004D0BFD"/>
    <w:rsid w:val="004D1A76"/>
    <w:rsid w:val="004D1E77"/>
    <w:rsid w:val="004D3DD4"/>
    <w:rsid w:val="004D458E"/>
    <w:rsid w:val="004D5A00"/>
    <w:rsid w:val="004D651B"/>
    <w:rsid w:val="004D6682"/>
    <w:rsid w:val="004D6F4B"/>
    <w:rsid w:val="004D7513"/>
    <w:rsid w:val="004D7575"/>
    <w:rsid w:val="004D7818"/>
    <w:rsid w:val="004E039E"/>
    <w:rsid w:val="004E03CD"/>
    <w:rsid w:val="004E0881"/>
    <w:rsid w:val="004E10E8"/>
    <w:rsid w:val="004E10FB"/>
    <w:rsid w:val="004E19CB"/>
    <w:rsid w:val="004E1B9F"/>
    <w:rsid w:val="004E1C73"/>
    <w:rsid w:val="004E2035"/>
    <w:rsid w:val="004E305F"/>
    <w:rsid w:val="004E32E2"/>
    <w:rsid w:val="004E330F"/>
    <w:rsid w:val="004E440B"/>
    <w:rsid w:val="004E4BE0"/>
    <w:rsid w:val="004E4F87"/>
    <w:rsid w:val="004E5A2A"/>
    <w:rsid w:val="004E5EBE"/>
    <w:rsid w:val="004E6D58"/>
    <w:rsid w:val="004E7378"/>
    <w:rsid w:val="004E78BE"/>
    <w:rsid w:val="004F02F3"/>
    <w:rsid w:val="004F065C"/>
    <w:rsid w:val="004F0781"/>
    <w:rsid w:val="004F2739"/>
    <w:rsid w:val="004F329B"/>
    <w:rsid w:val="004F38BA"/>
    <w:rsid w:val="004F3977"/>
    <w:rsid w:val="004F450C"/>
    <w:rsid w:val="004F6AEF"/>
    <w:rsid w:val="004F757F"/>
    <w:rsid w:val="004F7640"/>
    <w:rsid w:val="004F7702"/>
    <w:rsid w:val="004FAB75"/>
    <w:rsid w:val="005000D3"/>
    <w:rsid w:val="00500672"/>
    <w:rsid w:val="0050124F"/>
    <w:rsid w:val="0050256B"/>
    <w:rsid w:val="00502A1F"/>
    <w:rsid w:val="00502A35"/>
    <w:rsid w:val="00502A48"/>
    <w:rsid w:val="005030AA"/>
    <w:rsid w:val="0050409A"/>
    <w:rsid w:val="005047D9"/>
    <w:rsid w:val="0050488B"/>
    <w:rsid w:val="005048E2"/>
    <w:rsid w:val="00504AF6"/>
    <w:rsid w:val="00504EC6"/>
    <w:rsid w:val="005057D3"/>
    <w:rsid w:val="0050609D"/>
    <w:rsid w:val="005067AB"/>
    <w:rsid w:val="00506B4D"/>
    <w:rsid w:val="00506DB1"/>
    <w:rsid w:val="00507A00"/>
    <w:rsid w:val="00507A86"/>
    <w:rsid w:val="00507D2B"/>
    <w:rsid w:val="00507DE7"/>
    <w:rsid w:val="00507F58"/>
    <w:rsid w:val="005100C7"/>
    <w:rsid w:val="005114C0"/>
    <w:rsid w:val="00511638"/>
    <w:rsid w:val="00511873"/>
    <w:rsid w:val="00511C85"/>
    <w:rsid w:val="00511EFC"/>
    <w:rsid w:val="00511FE7"/>
    <w:rsid w:val="00512FBA"/>
    <w:rsid w:val="005134B2"/>
    <w:rsid w:val="00514388"/>
    <w:rsid w:val="00515003"/>
    <w:rsid w:val="0051509E"/>
    <w:rsid w:val="00515379"/>
    <w:rsid w:val="00515781"/>
    <w:rsid w:val="00515A43"/>
    <w:rsid w:val="00515EAB"/>
    <w:rsid w:val="00516CF4"/>
    <w:rsid w:val="00516FA6"/>
    <w:rsid w:val="0051799B"/>
    <w:rsid w:val="00517EF2"/>
    <w:rsid w:val="00517F0A"/>
    <w:rsid w:val="00517F3A"/>
    <w:rsid w:val="00517FE2"/>
    <w:rsid w:val="005201EB"/>
    <w:rsid w:val="005207F0"/>
    <w:rsid w:val="0052093F"/>
    <w:rsid w:val="00520D2C"/>
    <w:rsid w:val="0052234D"/>
    <w:rsid w:val="00522A42"/>
    <w:rsid w:val="00522D93"/>
    <w:rsid w:val="005243FC"/>
    <w:rsid w:val="00524A54"/>
    <w:rsid w:val="00525A35"/>
    <w:rsid w:val="00525C68"/>
    <w:rsid w:val="00525CE8"/>
    <w:rsid w:val="00527C0D"/>
    <w:rsid w:val="0053111C"/>
    <w:rsid w:val="0053153C"/>
    <w:rsid w:val="00532156"/>
    <w:rsid w:val="00532C53"/>
    <w:rsid w:val="00533902"/>
    <w:rsid w:val="00533A45"/>
    <w:rsid w:val="005344C0"/>
    <w:rsid w:val="0053496A"/>
    <w:rsid w:val="0053496F"/>
    <w:rsid w:val="00534B41"/>
    <w:rsid w:val="00534BE3"/>
    <w:rsid w:val="00534C0F"/>
    <w:rsid w:val="00534CC3"/>
    <w:rsid w:val="005350BA"/>
    <w:rsid w:val="005355D1"/>
    <w:rsid w:val="005362F8"/>
    <w:rsid w:val="00536609"/>
    <w:rsid w:val="0053700F"/>
    <w:rsid w:val="005372F3"/>
    <w:rsid w:val="005400C1"/>
    <w:rsid w:val="00540556"/>
    <w:rsid w:val="00540932"/>
    <w:rsid w:val="00540A2F"/>
    <w:rsid w:val="00541A72"/>
    <w:rsid w:val="00543201"/>
    <w:rsid w:val="00543562"/>
    <w:rsid w:val="00543D56"/>
    <w:rsid w:val="00543E0A"/>
    <w:rsid w:val="00545992"/>
    <w:rsid w:val="0054681D"/>
    <w:rsid w:val="00546987"/>
    <w:rsid w:val="00547828"/>
    <w:rsid w:val="00547AD3"/>
    <w:rsid w:val="00547E69"/>
    <w:rsid w:val="00550318"/>
    <w:rsid w:val="0055048D"/>
    <w:rsid w:val="00550491"/>
    <w:rsid w:val="00550528"/>
    <w:rsid w:val="00551B32"/>
    <w:rsid w:val="00551F08"/>
    <w:rsid w:val="0055261C"/>
    <w:rsid w:val="005526D5"/>
    <w:rsid w:val="005532D4"/>
    <w:rsid w:val="005534BF"/>
    <w:rsid w:val="00553976"/>
    <w:rsid w:val="0055533F"/>
    <w:rsid w:val="00555B2B"/>
    <w:rsid w:val="00556C59"/>
    <w:rsid w:val="00556CF1"/>
    <w:rsid w:val="00557958"/>
    <w:rsid w:val="00557B0D"/>
    <w:rsid w:val="00562440"/>
    <w:rsid w:val="0056269C"/>
    <w:rsid w:val="00562777"/>
    <w:rsid w:val="00563687"/>
    <w:rsid w:val="0056385B"/>
    <w:rsid w:val="00564130"/>
    <w:rsid w:val="00564585"/>
    <w:rsid w:val="00564664"/>
    <w:rsid w:val="00564CFF"/>
    <w:rsid w:val="00565546"/>
    <w:rsid w:val="00565591"/>
    <w:rsid w:val="00565E11"/>
    <w:rsid w:val="005678F0"/>
    <w:rsid w:val="00567B86"/>
    <w:rsid w:val="00570200"/>
    <w:rsid w:val="005703E0"/>
    <w:rsid w:val="00570519"/>
    <w:rsid w:val="005708DB"/>
    <w:rsid w:val="00570ACF"/>
    <w:rsid w:val="00570D17"/>
    <w:rsid w:val="00573189"/>
    <w:rsid w:val="00573698"/>
    <w:rsid w:val="00574A32"/>
    <w:rsid w:val="005758AF"/>
    <w:rsid w:val="00576176"/>
    <w:rsid w:val="0057699C"/>
    <w:rsid w:val="00576A53"/>
    <w:rsid w:val="00577681"/>
    <w:rsid w:val="0057789A"/>
    <w:rsid w:val="00577AC2"/>
    <w:rsid w:val="00580627"/>
    <w:rsid w:val="005819A0"/>
    <w:rsid w:val="00581FAF"/>
    <w:rsid w:val="00582BD5"/>
    <w:rsid w:val="0058378C"/>
    <w:rsid w:val="00583A0C"/>
    <w:rsid w:val="005843B5"/>
    <w:rsid w:val="005848E6"/>
    <w:rsid w:val="00584C74"/>
    <w:rsid w:val="00585188"/>
    <w:rsid w:val="0058521F"/>
    <w:rsid w:val="0058591C"/>
    <w:rsid w:val="00586EBE"/>
    <w:rsid w:val="0058761C"/>
    <w:rsid w:val="00587D68"/>
    <w:rsid w:val="00590EB1"/>
    <w:rsid w:val="0059130C"/>
    <w:rsid w:val="00591ACF"/>
    <w:rsid w:val="005922AE"/>
    <w:rsid w:val="005922BC"/>
    <w:rsid w:val="00592C05"/>
    <w:rsid w:val="00592C9F"/>
    <w:rsid w:val="00592FF5"/>
    <w:rsid w:val="00593073"/>
    <w:rsid w:val="00593454"/>
    <w:rsid w:val="0059346F"/>
    <w:rsid w:val="005939EC"/>
    <w:rsid w:val="00593FD7"/>
    <w:rsid w:val="005941C3"/>
    <w:rsid w:val="0059441F"/>
    <w:rsid w:val="00594480"/>
    <w:rsid w:val="00594BDD"/>
    <w:rsid w:val="005952AA"/>
    <w:rsid w:val="005958F5"/>
    <w:rsid w:val="0059592F"/>
    <w:rsid w:val="00595B84"/>
    <w:rsid w:val="00595E4D"/>
    <w:rsid w:val="00595EE6"/>
    <w:rsid w:val="005961A3"/>
    <w:rsid w:val="0059621D"/>
    <w:rsid w:val="00596A0F"/>
    <w:rsid w:val="005974A5"/>
    <w:rsid w:val="00597797"/>
    <w:rsid w:val="0059789E"/>
    <w:rsid w:val="0059799D"/>
    <w:rsid w:val="005A015A"/>
    <w:rsid w:val="005A1A3D"/>
    <w:rsid w:val="005A23B1"/>
    <w:rsid w:val="005A27C6"/>
    <w:rsid w:val="005A2DD1"/>
    <w:rsid w:val="005A334B"/>
    <w:rsid w:val="005A3358"/>
    <w:rsid w:val="005A34B6"/>
    <w:rsid w:val="005A4121"/>
    <w:rsid w:val="005A429C"/>
    <w:rsid w:val="005A4610"/>
    <w:rsid w:val="005A49CC"/>
    <w:rsid w:val="005A4DED"/>
    <w:rsid w:val="005A5437"/>
    <w:rsid w:val="005A5479"/>
    <w:rsid w:val="005A6028"/>
    <w:rsid w:val="005A6433"/>
    <w:rsid w:val="005A64C7"/>
    <w:rsid w:val="005A78B5"/>
    <w:rsid w:val="005A7D41"/>
    <w:rsid w:val="005B1B61"/>
    <w:rsid w:val="005B256D"/>
    <w:rsid w:val="005B2F0E"/>
    <w:rsid w:val="005B33F0"/>
    <w:rsid w:val="005B34BF"/>
    <w:rsid w:val="005B38CB"/>
    <w:rsid w:val="005B3DA8"/>
    <w:rsid w:val="005B47A0"/>
    <w:rsid w:val="005B4877"/>
    <w:rsid w:val="005B4973"/>
    <w:rsid w:val="005B5046"/>
    <w:rsid w:val="005B536D"/>
    <w:rsid w:val="005B53F2"/>
    <w:rsid w:val="005B56AD"/>
    <w:rsid w:val="005B5FA5"/>
    <w:rsid w:val="005B61CE"/>
    <w:rsid w:val="005B6B3B"/>
    <w:rsid w:val="005B78A6"/>
    <w:rsid w:val="005C0C43"/>
    <w:rsid w:val="005C0CC5"/>
    <w:rsid w:val="005C10EF"/>
    <w:rsid w:val="005C16E8"/>
    <w:rsid w:val="005C367F"/>
    <w:rsid w:val="005C3C6A"/>
    <w:rsid w:val="005C4123"/>
    <w:rsid w:val="005C430B"/>
    <w:rsid w:val="005C643E"/>
    <w:rsid w:val="005C6531"/>
    <w:rsid w:val="005C685B"/>
    <w:rsid w:val="005C6E78"/>
    <w:rsid w:val="005C6FC1"/>
    <w:rsid w:val="005C74CE"/>
    <w:rsid w:val="005D07EB"/>
    <w:rsid w:val="005D0E01"/>
    <w:rsid w:val="005D1CCE"/>
    <w:rsid w:val="005D2A9E"/>
    <w:rsid w:val="005D35EB"/>
    <w:rsid w:val="005D372E"/>
    <w:rsid w:val="005D5620"/>
    <w:rsid w:val="005D61D9"/>
    <w:rsid w:val="005D686F"/>
    <w:rsid w:val="005D6D80"/>
    <w:rsid w:val="005D743C"/>
    <w:rsid w:val="005E01A5"/>
    <w:rsid w:val="005E08FA"/>
    <w:rsid w:val="005E0BA9"/>
    <w:rsid w:val="005E0C91"/>
    <w:rsid w:val="005E0F0B"/>
    <w:rsid w:val="005E0F3E"/>
    <w:rsid w:val="005E110D"/>
    <w:rsid w:val="005E1182"/>
    <w:rsid w:val="005E27C4"/>
    <w:rsid w:val="005E371E"/>
    <w:rsid w:val="005E3A72"/>
    <w:rsid w:val="005E49D9"/>
    <w:rsid w:val="005E4C57"/>
    <w:rsid w:val="005E4D61"/>
    <w:rsid w:val="005E4DE3"/>
    <w:rsid w:val="005E53DC"/>
    <w:rsid w:val="005E564E"/>
    <w:rsid w:val="005E5FEB"/>
    <w:rsid w:val="005E674A"/>
    <w:rsid w:val="005E6D08"/>
    <w:rsid w:val="005E6D46"/>
    <w:rsid w:val="005E779A"/>
    <w:rsid w:val="005E7A47"/>
    <w:rsid w:val="005F0091"/>
    <w:rsid w:val="005F1D16"/>
    <w:rsid w:val="005F1FEC"/>
    <w:rsid w:val="005F21FB"/>
    <w:rsid w:val="005F2286"/>
    <w:rsid w:val="005F259D"/>
    <w:rsid w:val="005F2C35"/>
    <w:rsid w:val="005F3C2B"/>
    <w:rsid w:val="005F3E10"/>
    <w:rsid w:val="005F3EF2"/>
    <w:rsid w:val="005F4201"/>
    <w:rsid w:val="005F4A8F"/>
    <w:rsid w:val="005F5259"/>
    <w:rsid w:val="005F5F7E"/>
    <w:rsid w:val="005F61BC"/>
    <w:rsid w:val="005F72DC"/>
    <w:rsid w:val="005F7AF6"/>
    <w:rsid w:val="00602422"/>
    <w:rsid w:val="0060362A"/>
    <w:rsid w:val="00603DDD"/>
    <w:rsid w:val="00603E7B"/>
    <w:rsid w:val="00604DA8"/>
    <w:rsid w:val="0060538D"/>
    <w:rsid w:val="0060579D"/>
    <w:rsid w:val="006062C3"/>
    <w:rsid w:val="00606777"/>
    <w:rsid w:val="00606C30"/>
    <w:rsid w:val="00607036"/>
    <w:rsid w:val="006103F1"/>
    <w:rsid w:val="00611A96"/>
    <w:rsid w:val="00611A9A"/>
    <w:rsid w:val="00611D57"/>
    <w:rsid w:val="0061204E"/>
    <w:rsid w:val="0061213C"/>
    <w:rsid w:val="00612AB1"/>
    <w:rsid w:val="00612C78"/>
    <w:rsid w:val="00613185"/>
    <w:rsid w:val="00613C02"/>
    <w:rsid w:val="00614397"/>
    <w:rsid w:val="00614C13"/>
    <w:rsid w:val="00614F96"/>
    <w:rsid w:val="006156D1"/>
    <w:rsid w:val="00615D5C"/>
    <w:rsid w:val="00615F92"/>
    <w:rsid w:val="0061632B"/>
    <w:rsid w:val="006164DE"/>
    <w:rsid w:val="00616B83"/>
    <w:rsid w:val="006175F8"/>
    <w:rsid w:val="00621558"/>
    <w:rsid w:val="0062232F"/>
    <w:rsid w:val="006224E9"/>
    <w:rsid w:val="006227CD"/>
    <w:rsid w:val="006228C0"/>
    <w:rsid w:val="00622C0E"/>
    <w:rsid w:val="0062347B"/>
    <w:rsid w:val="006234E4"/>
    <w:rsid w:val="006237CD"/>
    <w:rsid w:val="00623A2F"/>
    <w:rsid w:val="00623B30"/>
    <w:rsid w:val="00624236"/>
    <w:rsid w:val="006250C7"/>
    <w:rsid w:val="0062764D"/>
    <w:rsid w:val="0063027C"/>
    <w:rsid w:val="00630F92"/>
    <w:rsid w:val="006315BD"/>
    <w:rsid w:val="00631A75"/>
    <w:rsid w:val="00631C00"/>
    <w:rsid w:val="00631CE2"/>
    <w:rsid w:val="00631D79"/>
    <w:rsid w:val="00631FA7"/>
    <w:rsid w:val="006323CB"/>
    <w:rsid w:val="00632687"/>
    <w:rsid w:val="00633156"/>
    <w:rsid w:val="00633248"/>
    <w:rsid w:val="00633436"/>
    <w:rsid w:val="006335A1"/>
    <w:rsid w:val="00633B38"/>
    <w:rsid w:val="00633B54"/>
    <w:rsid w:val="0063403B"/>
    <w:rsid w:val="00634559"/>
    <w:rsid w:val="0063459C"/>
    <w:rsid w:val="00634B36"/>
    <w:rsid w:val="00635A79"/>
    <w:rsid w:val="00635AF0"/>
    <w:rsid w:val="006360B4"/>
    <w:rsid w:val="006366D5"/>
    <w:rsid w:val="00640233"/>
    <w:rsid w:val="00640A5F"/>
    <w:rsid w:val="00641AF0"/>
    <w:rsid w:val="00642079"/>
    <w:rsid w:val="00642270"/>
    <w:rsid w:val="00642899"/>
    <w:rsid w:val="00642DF6"/>
    <w:rsid w:val="00642E61"/>
    <w:rsid w:val="0064324C"/>
    <w:rsid w:val="006433DB"/>
    <w:rsid w:val="00643630"/>
    <w:rsid w:val="00643C14"/>
    <w:rsid w:val="00643C5F"/>
    <w:rsid w:val="006441A9"/>
    <w:rsid w:val="006446F0"/>
    <w:rsid w:val="006458C2"/>
    <w:rsid w:val="006460C5"/>
    <w:rsid w:val="00646831"/>
    <w:rsid w:val="00646A56"/>
    <w:rsid w:val="00646C68"/>
    <w:rsid w:val="00647EA7"/>
    <w:rsid w:val="006500EF"/>
    <w:rsid w:val="006509F5"/>
    <w:rsid w:val="00650C6B"/>
    <w:rsid w:val="006510A2"/>
    <w:rsid w:val="0065179A"/>
    <w:rsid w:val="00651F00"/>
    <w:rsid w:val="0065251D"/>
    <w:rsid w:val="00652BDF"/>
    <w:rsid w:val="0065326A"/>
    <w:rsid w:val="006534E0"/>
    <w:rsid w:val="006535AA"/>
    <w:rsid w:val="00654EBD"/>
    <w:rsid w:val="006554E4"/>
    <w:rsid w:val="006556AA"/>
    <w:rsid w:val="00655D1A"/>
    <w:rsid w:val="00656CC8"/>
    <w:rsid w:val="00660928"/>
    <w:rsid w:val="00661BBC"/>
    <w:rsid w:val="00663324"/>
    <w:rsid w:val="00663C25"/>
    <w:rsid w:val="0066522D"/>
    <w:rsid w:val="006654A5"/>
    <w:rsid w:val="00665567"/>
    <w:rsid w:val="00666275"/>
    <w:rsid w:val="006663FA"/>
    <w:rsid w:val="006666B7"/>
    <w:rsid w:val="00666BB4"/>
    <w:rsid w:val="00667412"/>
    <w:rsid w:val="0066750D"/>
    <w:rsid w:val="00667F59"/>
    <w:rsid w:val="00670205"/>
    <w:rsid w:val="00670792"/>
    <w:rsid w:val="00672A4F"/>
    <w:rsid w:val="00672B47"/>
    <w:rsid w:val="00673975"/>
    <w:rsid w:val="006749D5"/>
    <w:rsid w:val="00676C4A"/>
    <w:rsid w:val="00676DB6"/>
    <w:rsid w:val="00677728"/>
    <w:rsid w:val="00677B4A"/>
    <w:rsid w:val="00677E57"/>
    <w:rsid w:val="0068006E"/>
    <w:rsid w:val="00681407"/>
    <w:rsid w:val="00681B14"/>
    <w:rsid w:val="00681B58"/>
    <w:rsid w:val="006822D9"/>
    <w:rsid w:val="00682527"/>
    <w:rsid w:val="00682EC0"/>
    <w:rsid w:val="00683921"/>
    <w:rsid w:val="006839B5"/>
    <w:rsid w:val="00683D43"/>
    <w:rsid w:val="00683E73"/>
    <w:rsid w:val="006845CA"/>
    <w:rsid w:val="0068491D"/>
    <w:rsid w:val="00684E61"/>
    <w:rsid w:val="00685A32"/>
    <w:rsid w:val="00686B10"/>
    <w:rsid w:val="00686D80"/>
    <w:rsid w:val="00687259"/>
    <w:rsid w:val="00690381"/>
    <w:rsid w:val="00690464"/>
    <w:rsid w:val="006908E0"/>
    <w:rsid w:val="00691248"/>
    <w:rsid w:val="00691511"/>
    <w:rsid w:val="00691671"/>
    <w:rsid w:val="00691931"/>
    <w:rsid w:val="00691F65"/>
    <w:rsid w:val="0069220D"/>
    <w:rsid w:val="00692AB0"/>
    <w:rsid w:val="0069390E"/>
    <w:rsid w:val="0069421D"/>
    <w:rsid w:val="00694269"/>
    <w:rsid w:val="00694652"/>
    <w:rsid w:val="006947A8"/>
    <w:rsid w:val="00694C2B"/>
    <w:rsid w:val="00696A8D"/>
    <w:rsid w:val="00696CDA"/>
    <w:rsid w:val="00697681"/>
    <w:rsid w:val="006977C3"/>
    <w:rsid w:val="00697813"/>
    <w:rsid w:val="006A002B"/>
    <w:rsid w:val="006A05F0"/>
    <w:rsid w:val="006A1EE6"/>
    <w:rsid w:val="006A3036"/>
    <w:rsid w:val="006A3CD3"/>
    <w:rsid w:val="006A41A1"/>
    <w:rsid w:val="006A4311"/>
    <w:rsid w:val="006A46B9"/>
    <w:rsid w:val="006A4C93"/>
    <w:rsid w:val="006A4E55"/>
    <w:rsid w:val="006A5394"/>
    <w:rsid w:val="006A55AB"/>
    <w:rsid w:val="006A57AF"/>
    <w:rsid w:val="006A6409"/>
    <w:rsid w:val="006A6EF6"/>
    <w:rsid w:val="006A7746"/>
    <w:rsid w:val="006A78DC"/>
    <w:rsid w:val="006A7EF6"/>
    <w:rsid w:val="006B0158"/>
    <w:rsid w:val="006B05B6"/>
    <w:rsid w:val="006B11A9"/>
    <w:rsid w:val="006B1895"/>
    <w:rsid w:val="006B23AA"/>
    <w:rsid w:val="006B2EB2"/>
    <w:rsid w:val="006B3027"/>
    <w:rsid w:val="006B3548"/>
    <w:rsid w:val="006B3615"/>
    <w:rsid w:val="006B4A19"/>
    <w:rsid w:val="006B5305"/>
    <w:rsid w:val="006B5839"/>
    <w:rsid w:val="006B5BD9"/>
    <w:rsid w:val="006B61AA"/>
    <w:rsid w:val="006B678D"/>
    <w:rsid w:val="006B6D82"/>
    <w:rsid w:val="006B76FA"/>
    <w:rsid w:val="006B78E2"/>
    <w:rsid w:val="006B7E81"/>
    <w:rsid w:val="006B7EAC"/>
    <w:rsid w:val="006B7EDF"/>
    <w:rsid w:val="006B7F82"/>
    <w:rsid w:val="006C0255"/>
    <w:rsid w:val="006C0DE0"/>
    <w:rsid w:val="006C14B2"/>
    <w:rsid w:val="006C16E1"/>
    <w:rsid w:val="006C1A7C"/>
    <w:rsid w:val="006C1B73"/>
    <w:rsid w:val="006C1BC3"/>
    <w:rsid w:val="006C1F7A"/>
    <w:rsid w:val="006C2297"/>
    <w:rsid w:val="006C22B2"/>
    <w:rsid w:val="006C24D4"/>
    <w:rsid w:val="006C2D7D"/>
    <w:rsid w:val="006C367C"/>
    <w:rsid w:val="006C3B39"/>
    <w:rsid w:val="006C3E28"/>
    <w:rsid w:val="006C41F9"/>
    <w:rsid w:val="006C452A"/>
    <w:rsid w:val="006C47F4"/>
    <w:rsid w:val="006C55AF"/>
    <w:rsid w:val="006C613E"/>
    <w:rsid w:val="006C6D97"/>
    <w:rsid w:val="006D1173"/>
    <w:rsid w:val="006D16DC"/>
    <w:rsid w:val="006D1C60"/>
    <w:rsid w:val="006D2CD0"/>
    <w:rsid w:val="006D2F5F"/>
    <w:rsid w:val="006D3566"/>
    <w:rsid w:val="006D3BAB"/>
    <w:rsid w:val="006D3D21"/>
    <w:rsid w:val="006D4A37"/>
    <w:rsid w:val="006D53CC"/>
    <w:rsid w:val="006D55E0"/>
    <w:rsid w:val="006D5720"/>
    <w:rsid w:val="006D5E43"/>
    <w:rsid w:val="006D6029"/>
    <w:rsid w:val="006D64E5"/>
    <w:rsid w:val="006D6F34"/>
    <w:rsid w:val="006D6FCB"/>
    <w:rsid w:val="006D7FB6"/>
    <w:rsid w:val="006E0B74"/>
    <w:rsid w:val="006E13B0"/>
    <w:rsid w:val="006E13F1"/>
    <w:rsid w:val="006E1677"/>
    <w:rsid w:val="006E2150"/>
    <w:rsid w:val="006E2383"/>
    <w:rsid w:val="006E310A"/>
    <w:rsid w:val="006E32ED"/>
    <w:rsid w:val="006E35BD"/>
    <w:rsid w:val="006E3756"/>
    <w:rsid w:val="006E3EEB"/>
    <w:rsid w:val="006E467D"/>
    <w:rsid w:val="006E4AF4"/>
    <w:rsid w:val="006E4BED"/>
    <w:rsid w:val="006E4CFE"/>
    <w:rsid w:val="006E4DFF"/>
    <w:rsid w:val="006E5485"/>
    <w:rsid w:val="006E683C"/>
    <w:rsid w:val="006E6B81"/>
    <w:rsid w:val="006F0975"/>
    <w:rsid w:val="006F0B1E"/>
    <w:rsid w:val="006F1796"/>
    <w:rsid w:val="006F17E2"/>
    <w:rsid w:val="006F2C64"/>
    <w:rsid w:val="006F3317"/>
    <w:rsid w:val="006F3933"/>
    <w:rsid w:val="006F4047"/>
    <w:rsid w:val="006F56E9"/>
    <w:rsid w:val="006F5A55"/>
    <w:rsid w:val="006F5EDF"/>
    <w:rsid w:val="006F78D7"/>
    <w:rsid w:val="006F7A67"/>
    <w:rsid w:val="00700A60"/>
    <w:rsid w:val="00700DC6"/>
    <w:rsid w:val="00701224"/>
    <w:rsid w:val="007016D9"/>
    <w:rsid w:val="007017E4"/>
    <w:rsid w:val="00701AB6"/>
    <w:rsid w:val="00702B08"/>
    <w:rsid w:val="00703A8A"/>
    <w:rsid w:val="00704171"/>
    <w:rsid w:val="007048EF"/>
    <w:rsid w:val="0070505D"/>
    <w:rsid w:val="0070517B"/>
    <w:rsid w:val="0070518D"/>
    <w:rsid w:val="0070527C"/>
    <w:rsid w:val="007055D2"/>
    <w:rsid w:val="00705B4C"/>
    <w:rsid w:val="00705F95"/>
    <w:rsid w:val="0070676E"/>
    <w:rsid w:val="00706BA1"/>
    <w:rsid w:val="00707457"/>
    <w:rsid w:val="007107DF"/>
    <w:rsid w:val="007108AE"/>
    <w:rsid w:val="00710D79"/>
    <w:rsid w:val="00710E08"/>
    <w:rsid w:val="00710FA7"/>
    <w:rsid w:val="00711204"/>
    <w:rsid w:val="00711DE8"/>
    <w:rsid w:val="00712424"/>
    <w:rsid w:val="0071269D"/>
    <w:rsid w:val="00713512"/>
    <w:rsid w:val="00713A57"/>
    <w:rsid w:val="00714DBB"/>
    <w:rsid w:val="007153C2"/>
    <w:rsid w:val="00715899"/>
    <w:rsid w:val="00717EF4"/>
    <w:rsid w:val="0072028D"/>
    <w:rsid w:val="0072045B"/>
    <w:rsid w:val="007205D6"/>
    <w:rsid w:val="007209D5"/>
    <w:rsid w:val="00721609"/>
    <w:rsid w:val="00721729"/>
    <w:rsid w:val="007219B9"/>
    <w:rsid w:val="00721D12"/>
    <w:rsid w:val="00722D9A"/>
    <w:rsid w:val="00722DBD"/>
    <w:rsid w:val="00722F10"/>
    <w:rsid w:val="00723317"/>
    <w:rsid w:val="007233AE"/>
    <w:rsid w:val="007238F4"/>
    <w:rsid w:val="007241C7"/>
    <w:rsid w:val="00724971"/>
    <w:rsid w:val="007249AB"/>
    <w:rsid w:val="00724F4D"/>
    <w:rsid w:val="00725879"/>
    <w:rsid w:val="00726B81"/>
    <w:rsid w:val="00727539"/>
    <w:rsid w:val="00727706"/>
    <w:rsid w:val="0072775F"/>
    <w:rsid w:val="00727AE1"/>
    <w:rsid w:val="00730423"/>
    <w:rsid w:val="007311CD"/>
    <w:rsid w:val="00732273"/>
    <w:rsid w:val="00732604"/>
    <w:rsid w:val="00732852"/>
    <w:rsid w:val="007333ED"/>
    <w:rsid w:val="0073346F"/>
    <w:rsid w:val="00733835"/>
    <w:rsid w:val="00733A12"/>
    <w:rsid w:val="00734862"/>
    <w:rsid w:val="007348D5"/>
    <w:rsid w:val="007356C0"/>
    <w:rsid w:val="00736363"/>
    <w:rsid w:val="007368F2"/>
    <w:rsid w:val="00736A47"/>
    <w:rsid w:val="00736DF2"/>
    <w:rsid w:val="007370A2"/>
    <w:rsid w:val="007375A7"/>
    <w:rsid w:val="0073770F"/>
    <w:rsid w:val="007378B1"/>
    <w:rsid w:val="00737A40"/>
    <w:rsid w:val="00740211"/>
    <w:rsid w:val="00740E98"/>
    <w:rsid w:val="0074194D"/>
    <w:rsid w:val="00741983"/>
    <w:rsid w:val="00742824"/>
    <w:rsid w:val="007431CF"/>
    <w:rsid w:val="00743297"/>
    <w:rsid w:val="00743303"/>
    <w:rsid w:val="00744767"/>
    <w:rsid w:val="007452C0"/>
    <w:rsid w:val="007459A1"/>
    <w:rsid w:val="00745A1C"/>
    <w:rsid w:val="00746568"/>
    <w:rsid w:val="00746A9D"/>
    <w:rsid w:val="00747AA3"/>
    <w:rsid w:val="0075010F"/>
    <w:rsid w:val="007501BC"/>
    <w:rsid w:val="00750929"/>
    <w:rsid w:val="00750A43"/>
    <w:rsid w:val="00751173"/>
    <w:rsid w:val="0075152D"/>
    <w:rsid w:val="007518F3"/>
    <w:rsid w:val="00751A04"/>
    <w:rsid w:val="0075205A"/>
    <w:rsid w:val="0075260C"/>
    <w:rsid w:val="007526E5"/>
    <w:rsid w:val="00752B91"/>
    <w:rsid w:val="00753102"/>
    <w:rsid w:val="00753285"/>
    <w:rsid w:val="00753690"/>
    <w:rsid w:val="0075382A"/>
    <w:rsid w:val="00754FCE"/>
    <w:rsid w:val="007552E2"/>
    <w:rsid w:val="00755442"/>
    <w:rsid w:val="00755682"/>
    <w:rsid w:val="007566B8"/>
    <w:rsid w:val="0075679B"/>
    <w:rsid w:val="00756A70"/>
    <w:rsid w:val="00756E1C"/>
    <w:rsid w:val="00757540"/>
    <w:rsid w:val="00757A89"/>
    <w:rsid w:val="00761017"/>
    <w:rsid w:val="00761157"/>
    <w:rsid w:val="0076126C"/>
    <w:rsid w:val="00761CFE"/>
    <w:rsid w:val="00762064"/>
    <w:rsid w:val="00763621"/>
    <w:rsid w:val="00763F4E"/>
    <w:rsid w:val="0076465D"/>
    <w:rsid w:val="00764795"/>
    <w:rsid w:val="00764C97"/>
    <w:rsid w:val="00764CE8"/>
    <w:rsid w:val="0076516F"/>
    <w:rsid w:val="00765398"/>
    <w:rsid w:val="00765B02"/>
    <w:rsid w:val="00765D9F"/>
    <w:rsid w:val="00766269"/>
    <w:rsid w:val="007662A3"/>
    <w:rsid w:val="007667FC"/>
    <w:rsid w:val="00766921"/>
    <w:rsid w:val="00766E32"/>
    <w:rsid w:val="0076750F"/>
    <w:rsid w:val="007677F1"/>
    <w:rsid w:val="00767CE4"/>
    <w:rsid w:val="00770253"/>
    <w:rsid w:val="0077086D"/>
    <w:rsid w:val="00770B37"/>
    <w:rsid w:val="0077113E"/>
    <w:rsid w:val="00771245"/>
    <w:rsid w:val="00771675"/>
    <w:rsid w:val="00772487"/>
    <w:rsid w:val="007733A5"/>
    <w:rsid w:val="007738AB"/>
    <w:rsid w:val="00774C37"/>
    <w:rsid w:val="00774FF3"/>
    <w:rsid w:val="007756EC"/>
    <w:rsid w:val="007759F6"/>
    <w:rsid w:val="00776747"/>
    <w:rsid w:val="0077699D"/>
    <w:rsid w:val="00776E4A"/>
    <w:rsid w:val="00777546"/>
    <w:rsid w:val="007775C4"/>
    <w:rsid w:val="00780337"/>
    <w:rsid w:val="00780763"/>
    <w:rsid w:val="0078138B"/>
    <w:rsid w:val="00781424"/>
    <w:rsid w:val="00781A34"/>
    <w:rsid w:val="0078215A"/>
    <w:rsid w:val="00782309"/>
    <w:rsid w:val="007823AC"/>
    <w:rsid w:val="00782BC6"/>
    <w:rsid w:val="00786146"/>
    <w:rsid w:val="007906C9"/>
    <w:rsid w:val="007910A9"/>
    <w:rsid w:val="00792592"/>
    <w:rsid w:val="007944BC"/>
    <w:rsid w:val="007945CB"/>
    <w:rsid w:val="00794D27"/>
    <w:rsid w:val="00795AE5"/>
    <w:rsid w:val="00795D74"/>
    <w:rsid w:val="00796C21"/>
    <w:rsid w:val="00796F24"/>
    <w:rsid w:val="0079721A"/>
    <w:rsid w:val="007977C6"/>
    <w:rsid w:val="007978E3"/>
    <w:rsid w:val="007A14C2"/>
    <w:rsid w:val="007A17FC"/>
    <w:rsid w:val="007A22D8"/>
    <w:rsid w:val="007A2884"/>
    <w:rsid w:val="007A2C8D"/>
    <w:rsid w:val="007A2DBE"/>
    <w:rsid w:val="007A3210"/>
    <w:rsid w:val="007A3AB9"/>
    <w:rsid w:val="007A3B2E"/>
    <w:rsid w:val="007A4256"/>
    <w:rsid w:val="007A4C3C"/>
    <w:rsid w:val="007A5033"/>
    <w:rsid w:val="007A53C3"/>
    <w:rsid w:val="007A5578"/>
    <w:rsid w:val="007A55B8"/>
    <w:rsid w:val="007A5ED6"/>
    <w:rsid w:val="007A624F"/>
    <w:rsid w:val="007B0A49"/>
    <w:rsid w:val="007B244A"/>
    <w:rsid w:val="007B30C7"/>
    <w:rsid w:val="007B448E"/>
    <w:rsid w:val="007B5D3C"/>
    <w:rsid w:val="007B6447"/>
    <w:rsid w:val="007B6DC4"/>
    <w:rsid w:val="007B78D4"/>
    <w:rsid w:val="007B7BBC"/>
    <w:rsid w:val="007B7F12"/>
    <w:rsid w:val="007C0817"/>
    <w:rsid w:val="007C12D2"/>
    <w:rsid w:val="007C1B92"/>
    <w:rsid w:val="007C2536"/>
    <w:rsid w:val="007C2854"/>
    <w:rsid w:val="007C29C0"/>
    <w:rsid w:val="007C3051"/>
    <w:rsid w:val="007C3F9A"/>
    <w:rsid w:val="007C4ADB"/>
    <w:rsid w:val="007C5DC9"/>
    <w:rsid w:val="007C5E90"/>
    <w:rsid w:val="007C6889"/>
    <w:rsid w:val="007C6C6A"/>
    <w:rsid w:val="007D034B"/>
    <w:rsid w:val="007D1361"/>
    <w:rsid w:val="007D183E"/>
    <w:rsid w:val="007D304A"/>
    <w:rsid w:val="007D34B5"/>
    <w:rsid w:val="007D38EA"/>
    <w:rsid w:val="007D4414"/>
    <w:rsid w:val="007D4519"/>
    <w:rsid w:val="007D4566"/>
    <w:rsid w:val="007D6400"/>
    <w:rsid w:val="007D6797"/>
    <w:rsid w:val="007E06B5"/>
    <w:rsid w:val="007E1AE9"/>
    <w:rsid w:val="007E220A"/>
    <w:rsid w:val="007E2B64"/>
    <w:rsid w:val="007E34AC"/>
    <w:rsid w:val="007E3E19"/>
    <w:rsid w:val="007E3FB0"/>
    <w:rsid w:val="007E4C42"/>
    <w:rsid w:val="007E4FEF"/>
    <w:rsid w:val="007E53AF"/>
    <w:rsid w:val="007E6039"/>
    <w:rsid w:val="007E6C6B"/>
    <w:rsid w:val="007E6D0F"/>
    <w:rsid w:val="007E7726"/>
    <w:rsid w:val="007F0336"/>
    <w:rsid w:val="007F06AC"/>
    <w:rsid w:val="007F06D9"/>
    <w:rsid w:val="007F1176"/>
    <w:rsid w:val="007F12E2"/>
    <w:rsid w:val="007F1727"/>
    <w:rsid w:val="007F21A3"/>
    <w:rsid w:val="007F233F"/>
    <w:rsid w:val="007F236B"/>
    <w:rsid w:val="007F2804"/>
    <w:rsid w:val="007F2F00"/>
    <w:rsid w:val="007F3586"/>
    <w:rsid w:val="007F397F"/>
    <w:rsid w:val="007F413B"/>
    <w:rsid w:val="007F490A"/>
    <w:rsid w:val="007F59E0"/>
    <w:rsid w:val="007F5DEF"/>
    <w:rsid w:val="007F611E"/>
    <w:rsid w:val="007F61EC"/>
    <w:rsid w:val="007F705F"/>
    <w:rsid w:val="007F74A8"/>
    <w:rsid w:val="008026C6"/>
    <w:rsid w:val="00802B6A"/>
    <w:rsid w:val="00802D31"/>
    <w:rsid w:val="00803237"/>
    <w:rsid w:val="008038E6"/>
    <w:rsid w:val="00803902"/>
    <w:rsid w:val="0080461A"/>
    <w:rsid w:val="00804F4E"/>
    <w:rsid w:val="00805335"/>
    <w:rsid w:val="0080583F"/>
    <w:rsid w:val="00805A68"/>
    <w:rsid w:val="00806CAB"/>
    <w:rsid w:val="00806DB6"/>
    <w:rsid w:val="008070C9"/>
    <w:rsid w:val="0080724F"/>
    <w:rsid w:val="0080727F"/>
    <w:rsid w:val="00807DA5"/>
    <w:rsid w:val="008102E6"/>
    <w:rsid w:val="008106D8"/>
    <w:rsid w:val="008106E2"/>
    <w:rsid w:val="008113A7"/>
    <w:rsid w:val="008116DB"/>
    <w:rsid w:val="00812388"/>
    <w:rsid w:val="00813521"/>
    <w:rsid w:val="00813A12"/>
    <w:rsid w:val="00813D49"/>
    <w:rsid w:val="00814784"/>
    <w:rsid w:val="00814EBC"/>
    <w:rsid w:val="00815488"/>
    <w:rsid w:val="0081758D"/>
    <w:rsid w:val="00817A95"/>
    <w:rsid w:val="0082105A"/>
    <w:rsid w:val="008210F9"/>
    <w:rsid w:val="008211C7"/>
    <w:rsid w:val="00821249"/>
    <w:rsid w:val="008213E7"/>
    <w:rsid w:val="008214E3"/>
    <w:rsid w:val="00822A0F"/>
    <w:rsid w:val="00822A71"/>
    <w:rsid w:val="00822DFA"/>
    <w:rsid w:val="00823742"/>
    <w:rsid w:val="0082376A"/>
    <w:rsid w:val="00823B2B"/>
    <w:rsid w:val="00823DC0"/>
    <w:rsid w:val="0082436B"/>
    <w:rsid w:val="00824612"/>
    <w:rsid w:val="00824629"/>
    <w:rsid w:val="0082555F"/>
    <w:rsid w:val="008255BA"/>
    <w:rsid w:val="00825D26"/>
    <w:rsid w:val="00825FB4"/>
    <w:rsid w:val="00826286"/>
    <w:rsid w:val="00826666"/>
    <w:rsid w:val="00830447"/>
    <w:rsid w:val="008307DA"/>
    <w:rsid w:val="008312C9"/>
    <w:rsid w:val="008315F1"/>
    <w:rsid w:val="008316AF"/>
    <w:rsid w:val="008321E4"/>
    <w:rsid w:val="008322F5"/>
    <w:rsid w:val="00832FD1"/>
    <w:rsid w:val="00833C3C"/>
    <w:rsid w:val="00833CAE"/>
    <w:rsid w:val="00833F6E"/>
    <w:rsid w:val="00834984"/>
    <w:rsid w:val="00835386"/>
    <w:rsid w:val="008361A0"/>
    <w:rsid w:val="008366AF"/>
    <w:rsid w:val="00836C64"/>
    <w:rsid w:val="00837DA3"/>
    <w:rsid w:val="00840216"/>
    <w:rsid w:val="00840426"/>
    <w:rsid w:val="00840EB4"/>
    <w:rsid w:val="0084106C"/>
    <w:rsid w:val="00842D79"/>
    <w:rsid w:val="008433A2"/>
    <w:rsid w:val="008437DD"/>
    <w:rsid w:val="00844094"/>
    <w:rsid w:val="0084428F"/>
    <w:rsid w:val="00844F59"/>
    <w:rsid w:val="0084602C"/>
    <w:rsid w:val="0084622B"/>
    <w:rsid w:val="00846909"/>
    <w:rsid w:val="00846AFA"/>
    <w:rsid w:val="00846B11"/>
    <w:rsid w:val="008473FD"/>
    <w:rsid w:val="00847791"/>
    <w:rsid w:val="008479E8"/>
    <w:rsid w:val="008504CC"/>
    <w:rsid w:val="00850E36"/>
    <w:rsid w:val="00850EE9"/>
    <w:rsid w:val="00850F51"/>
    <w:rsid w:val="00851021"/>
    <w:rsid w:val="008519B5"/>
    <w:rsid w:val="00851C71"/>
    <w:rsid w:val="0085229E"/>
    <w:rsid w:val="00852C91"/>
    <w:rsid w:val="00853298"/>
    <w:rsid w:val="00854FC3"/>
    <w:rsid w:val="00855D9A"/>
    <w:rsid w:val="00855F3C"/>
    <w:rsid w:val="00856842"/>
    <w:rsid w:val="00856A86"/>
    <w:rsid w:val="00857056"/>
    <w:rsid w:val="008575E0"/>
    <w:rsid w:val="008578AB"/>
    <w:rsid w:val="0086065C"/>
    <w:rsid w:val="00860CE2"/>
    <w:rsid w:val="00860F11"/>
    <w:rsid w:val="00861C1C"/>
    <w:rsid w:val="0086313E"/>
    <w:rsid w:val="008631ED"/>
    <w:rsid w:val="00864911"/>
    <w:rsid w:val="00865255"/>
    <w:rsid w:val="008678C8"/>
    <w:rsid w:val="008679A5"/>
    <w:rsid w:val="00867E8E"/>
    <w:rsid w:val="00870493"/>
    <w:rsid w:val="00871002"/>
    <w:rsid w:val="0087110A"/>
    <w:rsid w:val="00871519"/>
    <w:rsid w:val="00871A0A"/>
    <w:rsid w:val="00871F4D"/>
    <w:rsid w:val="00871FC6"/>
    <w:rsid w:val="008720A6"/>
    <w:rsid w:val="00872542"/>
    <w:rsid w:val="00872575"/>
    <w:rsid w:val="00872B03"/>
    <w:rsid w:val="00872C0D"/>
    <w:rsid w:val="00872D3F"/>
    <w:rsid w:val="00872F3D"/>
    <w:rsid w:val="0087325B"/>
    <w:rsid w:val="00873905"/>
    <w:rsid w:val="00873A77"/>
    <w:rsid w:val="00873B5F"/>
    <w:rsid w:val="00873F0C"/>
    <w:rsid w:val="00874709"/>
    <w:rsid w:val="0087496C"/>
    <w:rsid w:val="008753E0"/>
    <w:rsid w:val="0087543B"/>
    <w:rsid w:val="0087582A"/>
    <w:rsid w:val="008765AD"/>
    <w:rsid w:val="0087695F"/>
    <w:rsid w:val="00880A7E"/>
    <w:rsid w:val="008811AD"/>
    <w:rsid w:val="00881216"/>
    <w:rsid w:val="008813AD"/>
    <w:rsid w:val="008813D7"/>
    <w:rsid w:val="00882921"/>
    <w:rsid w:val="008834F9"/>
    <w:rsid w:val="00884665"/>
    <w:rsid w:val="00886316"/>
    <w:rsid w:val="0088664B"/>
    <w:rsid w:val="00887377"/>
    <w:rsid w:val="00890751"/>
    <w:rsid w:val="00890A8C"/>
    <w:rsid w:val="00890C2E"/>
    <w:rsid w:val="00891087"/>
    <w:rsid w:val="00891672"/>
    <w:rsid w:val="008921D6"/>
    <w:rsid w:val="00892598"/>
    <w:rsid w:val="00892F85"/>
    <w:rsid w:val="00893AFD"/>
    <w:rsid w:val="00894714"/>
    <w:rsid w:val="00894723"/>
    <w:rsid w:val="008953DF"/>
    <w:rsid w:val="0089575D"/>
    <w:rsid w:val="00896444"/>
    <w:rsid w:val="00896D66"/>
    <w:rsid w:val="008977A1"/>
    <w:rsid w:val="00897992"/>
    <w:rsid w:val="008A10AA"/>
    <w:rsid w:val="008A116A"/>
    <w:rsid w:val="008A1359"/>
    <w:rsid w:val="008A1882"/>
    <w:rsid w:val="008A1EAE"/>
    <w:rsid w:val="008A2D0B"/>
    <w:rsid w:val="008A3075"/>
    <w:rsid w:val="008A32DF"/>
    <w:rsid w:val="008A39A1"/>
    <w:rsid w:val="008A3ADA"/>
    <w:rsid w:val="008A3D80"/>
    <w:rsid w:val="008A41E1"/>
    <w:rsid w:val="008A4459"/>
    <w:rsid w:val="008A4A12"/>
    <w:rsid w:val="008A4C60"/>
    <w:rsid w:val="008A4CBA"/>
    <w:rsid w:val="008A50B5"/>
    <w:rsid w:val="008A592E"/>
    <w:rsid w:val="008A597E"/>
    <w:rsid w:val="008A6855"/>
    <w:rsid w:val="008A71C4"/>
    <w:rsid w:val="008A7331"/>
    <w:rsid w:val="008A73D0"/>
    <w:rsid w:val="008A7714"/>
    <w:rsid w:val="008A7F5E"/>
    <w:rsid w:val="008B0488"/>
    <w:rsid w:val="008B0573"/>
    <w:rsid w:val="008B14BE"/>
    <w:rsid w:val="008B2024"/>
    <w:rsid w:val="008B37CE"/>
    <w:rsid w:val="008B4C76"/>
    <w:rsid w:val="008B502B"/>
    <w:rsid w:val="008B5433"/>
    <w:rsid w:val="008B55AF"/>
    <w:rsid w:val="008B5DEC"/>
    <w:rsid w:val="008B6324"/>
    <w:rsid w:val="008B6446"/>
    <w:rsid w:val="008B6767"/>
    <w:rsid w:val="008B6995"/>
    <w:rsid w:val="008B7ED5"/>
    <w:rsid w:val="008C0136"/>
    <w:rsid w:val="008C044E"/>
    <w:rsid w:val="008C06FD"/>
    <w:rsid w:val="008C0904"/>
    <w:rsid w:val="008C0D38"/>
    <w:rsid w:val="008C0E01"/>
    <w:rsid w:val="008C1D11"/>
    <w:rsid w:val="008C27B8"/>
    <w:rsid w:val="008C2CCB"/>
    <w:rsid w:val="008C2D80"/>
    <w:rsid w:val="008C2F76"/>
    <w:rsid w:val="008C5AFF"/>
    <w:rsid w:val="008C5E48"/>
    <w:rsid w:val="008C661B"/>
    <w:rsid w:val="008C6CEE"/>
    <w:rsid w:val="008C7136"/>
    <w:rsid w:val="008C7AF9"/>
    <w:rsid w:val="008C7E8D"/>
    <w:rsid w:val="008D08BD"/>
    <w:rsid w:val="008D1F2F"/>
    <w:rsid w:val="008D20A5"/>
    <w:rsid w:val="008D2393"/>
    <w:rsid w:val="008D272B"/>
    <w:rsid w:val="008D2E96"/>
    <w:rsid w:val="008D3A3A"/>
    <w:rsid w:val="008D459E"/>
    <w:rsid w:val="008D46E6"/>
    <w:rsid w:val="008D489B"/>
    <w:rsid w:val="008D4C06"/>
    <w:rsid w:val="008D4D5A"/>
    <w:rsid w:val="008D4D8B"/>
    <w:rsid w:val="008D4E0F"/>
    <w:rsid w:val="008D53CF"/>
    <w:rsid w:val="008D565C"/>
    <w:rsid w:val="008D6B6F"/>
    <w:rsid w:val="008D73FF"/>
    <w:rsid w:val="008E00B9"/>
    <w:rsid w:val="008E0270"/>
    <w:rsid w:val="008E0ACA"/>
    <w:rsid w:val="008E0BFD"/>
    <w:rsid w:val="008E1F77"/>
    <w:rsid w:val="008E2853"/>
    <w:rsid w:val="008E2B9C"/>
    <w:rsid w:val="008E2E85"/>
    <w:rsid w:val="008E2F00"/>
    <w:rsid w:val="008E31F7"/>
    <w:rsid w:val="008E35ED"/>
    <w:rsid w:val="008E37B9"/>
    <w:rsid w:val="008E55C6"/>
    <w:rsid w:val="008E5705"/>
    <w:rsid w:val="008E6151"/>
    <w:rsid w:val="008E624F"/>
    <w:rsid w:val="008E7257"/>
    <w:rsid w:val="008E77D5"/>
    <w:rsid w:val="008F014B"/>
    <w:rsid w:val="008F0575"/>
    <w:rsid w:val="008F0619"/>
    <w:rsid w:val="008F11F0"/>
    <w:rsid w:val="008F1248"/>
    <w:rsid w:val="008F19C4"/>
    <w:rsid w:val="008F2230"/>
    <w:rsid w:val="008F260E"/>
    <w:rsid w:val="008F3431"/>
    <w:rsid w:val="008F3C7C"/>
    <w:rsid w:val="008F4E65"/>
    <w:rsid w:val="008F56D9"/>
    <w:rsid w:val="008F5A00"/>
    <w:rsid w:val="008F5E2F"/>
    <w:rsid w:val="008F7199"/>
    <w:rsid w:val="008F7447"/>
    <w:rsid w:val="008F796D"/>
    <w:rsid w:val="00900337"/>
    <w:rsid w:val="00900A3C"/>
    <w:rsid w:val="00900E7D"/>
    <w:rsid w:val="009016F7"/>
    <w:rsid w:val="00901B9F"/>
    <w:rsid w:val="009021A1"/>
    <w:rsid w:val="009026EC"/>
    <w:rsid w:val="00902B11"/>
    <w:rsid w:val="00903D8E"/>
    <w:rsid w:val="0090450C"/>
    <w:rsid w:val="00904569"/>
    <w:rsid w:val="0090575E"/>
    <w:rsid w:val="00906A3A"/>
    <w:rsid w:val="0090778A"/>
    <w:rsid w:val="00907BC0"/>
    <w:rsid w:val="00912878"/>
    <w:rsid w:val="00912961"/>
    <w:rsid w:val="009129C9"/>
    <w:rsid w:val="0091337B"/>
    <w:rsid w:val="00913517"/>
    <w:rsid w:val="00913B71"/>
    <w:rsid w:val="00914357"/>
    <w:rsid w:val="0091451F"/>
    <w:rsid w:val="009151FA"/>
    <w:rsid w:val="00915C22"/>
    <w:rsid w:val="00916558"/>
    <w:rsid w:val="009171A8"/>
    <w:rsid w:val="0091749F"/>
    <w:rsid w:val="00917AF5"/>
    <w:rsid w:val="00917C95"/>
    <w:rsid w:val="0092098B"/>
    <w:rsid w:val="009209DB"/>
    <w:rsid w:val="00921A82"/>
    <w:rsid w:val="00921D1A"/>
    <w:rsid w:val="00922382"/>
    <w:rsid w:val="009227D2"/>
    <w:rsid w:val="00922F59"/>
    <w:rsid w:val="00923E5C"/>
    <w:rsid w:val="00924AC6"/>
    <w:rsid w:val="00924CFA"/>
    <w:rsid w:val="009257E8"/>
    <w:rsid w:val="00925A7D"/>
    <w:rsid w:val="00925F76"/>
    <w:rsid w:val="0092769E"/>
    <w:rsid w:val="009276EA"/>
    <w:rsid w:val="00927F65"/>
    <w:rsid w:val="00930025"/>
    <w:rsid w:val="00930A37"/>
    <w:rsid w:val="0093170A"/>
    <w:rsid w:val="00931E0B"/>
    <w:rsid w:val="009320C3"/>
    <w:rsid w:val="00932F15"/>
    <w:rsid w:val="009335F8"/>
    <w:rsid w:val="00934009"/>
    <w:rsid w:val="00935489"/>
    <w:rsid w:val="00936098"/>
    <w:rsid w:val="00936449"/>
    <w:rsid w:val="00936567"/>
    <w:rsid w:val="00936864"/>
    <w:rsid w:val="00937197"/>
    <w:rsid w:val="00937A8E"/>
    <w:rsid w:val="0094207B"/>
    <w:rsid w:val="0094297E"/>
    <w:rsid w:val="00943A91"/>
    <w:rsid w:val="00943C6E"/>
    <w:rsid w:val="0094492C"/>
    <w:rsid w:val="0094556A"/>
    <w:rsid w:val="00945591"/>
    <w:rsid w:val="009459FD"/>
    <w:rsid w:val="00945C19"/>
    <w:rsid w:val="00945F6F"/>
    <w:rsid w:val="009464F1"/>
    <w:rsid w:val="009469F6"/>
    <w:rsid w:val="00947794"/>
    <w:rsid w:val="00947F95"/>
    <w:rsid w:val="009507BB"/>
    <w:rsid w:val="00950F17"/>
    <w:rsid w:val="009514A8"/>
    <w:rsid w:val="00951F2B"/>
    <w:rsid w:val="00951FB6"/>
    <w:rsid w:val="009530EF"/>
    <w:rsid w:val="00953663"/>
    <w:rsid w:val="00953A38"/>
    <w:rsid w:val="00953EB6"/>
    <w:rsid w:val="00954154"/>
    <w:rsid w:val="0095475C"/>
    <w:rsid w:val="00955513"/>
    <w:rsid w:val="00955CE6"/>
    <w:rsid w:val="0095637D"/>
    <w:rsid w:val="00956C46"/>
    <w:rsid w:val="00956FE9"/>
    <w:rsid w:val="00957EBA"/>
    <w:rsid w:val="009604DA"/>
    <w:rsid w:val="00960A8C"/>
    <w:rsid w:val="00960B5E"/>
    <w:rsid w:val="00960E30"/>
    <w:rsid w:val="00960EAF"/>
    <w:rsid w:val="009625B1"/>
    <w:rsid w:val="009634FE"/>
    <w:rsid w:val="00963AFC"/>
    <w:rsid w:val="00963CE0"/>
    <w:rsid w:val="00964BDA"/>
    <w:rsid w:val="00965745"/>
    <w:rsid w:val="009659AB"/>
    <w:rsid w:val="00966656"/>
    <w:rsid w:val="00966F28"/>
    <w:rsid w:val="00967152"/>
    <w:rsid w:val="00967750"/>
    <w:rsid w:val="00967F5A"/>
    <w:rsid w:val="00970D48"/>
    <w:rsid w:val="00971388"/>
    <w:rsid w:val="00971CE3"/>
    <w:rsid w:val="00971F18"/>
    <w:rsid w:val="009722CF"/>
    <w:rsid w:val="009722D4"/>
    <w:rsid w:val="00972522"/>
    <w:rsid w:val="00972FDA"/>
    <w:rsid w:val="0097312A"/>
    <w:rsid w:val="0097351B"/>
    <w:rsid w:val="00973655"/>
    <w:rsid w:val="009737EB"/>
    <w:rsid w:val="00974AB0"/>
    <w:rsid w:val="00974E6B"/>
    <w:rsid w:val="00975EF1"/>
    <w:rsid w:val="00975FEB"/>
    <w:rsid w:val="00976325"/>
    <w:rsid w:val="00976B41"/>
    <w:rsid w:val="0097707E"/>
    <w:rsid w:val="00977854"/>
    <w:rsid w:val="0097795C"/>
    <w:rsid w:val="00977A8A"/>
    <w:rsid w:val="00977B7F"/>
    <w:rsid w:val="00977FD2"/>
    <w:rsid w:val="00980084"/>
    <w:rsid w:val="0098013B"/>
    <w:rsid w:val="00980A5C"/>
    <w:rsid w:val="00980DE5"/>
    <w:rsid w:val="00980ED2"/>
    <w:rsid w:val="00981345"/>
    <w:rsid w:val="00981606"/>
    <w:rsid w:val="0098213B"/>
    <w:rsid w:val="00982617"/>
    <w:rsid w:val="00982822"/>
    <w:rsid w:val="009828CD"/>
    <w:rsid w:val="00982BD5"/>
    <w:rsid w:val="00982EC7"/>
    <w:rsid w:val="009834AD"/>
    <w:rsid w:val="0098354E"/>
    <w:rsid w:val="00983B6C"/>
    <w:rsid w:val="00983BCD"/>
    <w:rsid w:val="00984195"/>
    <w:rsid w:val="009848EE"/>
    <w:rsid w:val="00984D77"/>
    <w:rsid w:val="00984F28"/>
    <w:rsid w:val="00985CDF"/>
    <w:rsid w:val="00987A6F"/>
    <w:rsid w:val="0099068B"/>
    <w:rsid w:val="00991025"/>
    <w:rsid w:val="009915C6"/>
    <w:rsid w:val="009919B5"/>
    <w:rsid w:val="00991B72"/>
    <w:rsid w:val="00991FF7"/>
    <w:rsid w:val="0099384E"/>
    <w:rsid w:val="00993A4C"/>
    <w:rsid w:val="00993B53"/>
    <w:rsid w:val="00993C23"/>
    <w:rsid w:val="00994691"/>
    <w:rsid w:val="00995958"/>
    <w:rsid w:val="009967D8"/>
    <w:rsid w:val="00996EF8"/>
    <w:rsid w:val="00997365"/>
    <w:rsid w:val="00997619"/>
    <w:rsid w:val="0099792F"/>
    <w:rsid w:val="00997FDB"/>
    <w:rsid w:val="009A0452"/>
    <w:rsid w:val="009A0560"/>
    <w:rsid w:val="009A1741"/>
    <w:rsid w:val="009A2266"/>
    <w:rsid w:val="009A2BE4"/>
    <w:rsid w:val="009A3106"/>
    <w:rsid w:val="009A3EDD"/>
    <w:rsid w:val="009A4BEB"/>
    <w:rsid w:val="009A51E3"/>
    <w:rsid w:val="009A56BE"/>
    <w:rsid w:val="009A6206"/>
    <w:rsid w:val="009A6763"/>
    <w:rsid w:val="009B08C6"/>
    <w:rsid w:val="009B0CF1"/>
    <w:rsid w:val="009B1381"/>
    <w:rsid w:val="009B1421"/>
    <w:rsid w:val="009B18E0"/>
    <w:rsid w:val="009B286B"/>
    <w:rsid w:val="009B2F49"/>
    <w:rsid w:val="009B32B3"/>
    <w:rsid w:val="009B345A"/>
    <w:rsid w:val="009B3A46"/>
    <w:rsid w:val="009B417C"/>
    <w:rsid w:val="009B48F8"/>
    <w:rsid w:val="009B4ACB"/>
    <w:rsid w:val="009B4D84"/>
    <w:rsid w:val="009B5F34"/>
    <w:rsid w:val="009B6452"/>
    <w:rsid w:val="009B6602"/>
    <w:rsid w:val="009B7310"/>
    <w:rsid w:val="009B7566"/>
    <w:rsid w:val="009B7625"/>
    <w:rsid w:val="009C0067"/>
    <w:rsid w:val="009C15CE"/>
    <w:rsid w:val="009C16DB"/>
    <w:rsid w:val="009C1AED"/>
    <w:rsid w:val="009C21A3"/>
    <w:rsid w:val="009C2D41"/>
    <w:rsid w:val="009C2D53"/>
    <w:rsid w:val="009C2DD6"/>
    <w:rsid w:val="009C32C6"/>
    <w:rsid w:val="009C3843"/>
    <w:rsid w:val="009C3CC2"/>
    <w:rsid w:val="009C463A"/>
    <w:rsid w:val="009C4DAD"/>
    <w:rsid w:val="009C5249"/>
    <w:rsid w:val="009C56BE"/>
    <w:rsid w:val="009C64D8"/>
    <w:rsid w:val="009C72A1"/>
    <w:rsid w:val="009C7714"/>
    <w:rsid w:val="009C79EB"/>
    <w:rsid w:val="009D0120"/>
    <w:rsid w:val="009D070B"/>
    <w:rsid w:val="009D0F7F"/>
    <w:rsid w:val="009D1168"/>
    <w:rsid w:val="009D1E7E"/>
    <w:rsid w:val="009D2752"/>
    <w:rsid w:val="009D29B0"/>
    <w:rsid w:val="009D2AB6"/>
    <w:rsid w:val="009D2B6C"/>
    <w:rsid w:val="009D2C38"/>
    <w:rsid w:val="009D2F74"/>
    <w:rsid w:val="009D34C4"/>
    <w:rsid w:val="009D3854"/>
    <w:rsid w:val="009D40A7"/>
    <w:rsid w:val="009D4145"/>
    <w:rsid w:val="009D5B8B"/>
    <w:rsid w:val="009D5D4A"/>
    <w:rsid w:val="009D6400"/>
    <w:rsid w:val="009D7473"/>
    <w:rsid w:val="009E0849"/>
    <w:rsid w:val="009E0E62"/>
    <w:rsid w:val="009E1202"/>
    <w:rsid w:val="009E1390"/>
    <w:rsid w:val="009E148B"/>
    <w:rsid w:val="009E1784"/>
    <w:rsid w:val="009E1927"/>
    <w:rsid w:val="009E1C48"/>
    <w:rsid w:val="009E2318"/>
    <w:rsid w:val="009E2A01"/>
    <w:rsid w:val="009E2AFD"/>
    <w:rsid w:val="009E2EAE"/>
    <w:rsid w:val="009E2EC3"/>
    <w:rsid w:val="009E32B6"/>
    <w:rsid w:val="009E32EE"/>
    <w:rsid w:val="009E3D95"/>
    <w:rsid w:val="009E50A8"/>
    <w:rsid w:val="009E56E2"/>
    <w:rsid w:val="009E5AB2"/>
    <w:rsid w:val="009E5ACD"/>
    <w:rsid w:val="009E5FE0"/>
    <w:rsid w:val="009E6316"/>
    <w:rsid w:val="009E6388"/>
    <w:rsid w:val="009E710B"/>
    <w:rsid w:val="009E7359"/>
    <w:rsid w:val="009F04EE"/>
    <w:rsid w:val="009F0CE6"/>
    <w:rsid w:val="009F0EFB"/>
    <w:rsid w:val="009F1198"/>
    <w:rsid w:val="009F129B"/>
    <w:rsid w:val="009F1325"/>
    <w:rsid w:val="009F17F8"/>
    <w:rsid w:val="009F193A"/>
    <w:rsid w:val="009F1DF7"/>
    <w:rsid w:val="009F1F77"/>
    <w:rsid w:val="009F271B"/>
    <w:rsid w:val="009F3091"/>
    <w:rsid w:val="009F36C6"/>
    <w:rsid w:val="009F5367"/>
    <w:rsid w:val="009F588A"/>
    <w:rsid w:val="009F5B9F"/>
    <w:rsid w:val="009F5C0D"/>
    <w:rsid w:val="009F6259"/>
    <w:rsid w:val="009F7888"/>
    <w:rsid w:val="009F789D"/>
    <w:rsid w:val="00A0026C"/>
    <w:rsid w:val="00A003D1"/>
    <w:rsid w:val="00A004A1"/>
    <w:rsid w:val="00A00528"/>
    <w:rsid w:val="00A005E2"/>
    <w:rsid w:val="00A01007"/>
    <w:rsid w:val="00A0155B"/>
    <w:rsid w:val="00A02A4B"/>
    <w:rsid w:val="00A0313D"/>
    <w:rsid w:val="00A03615"/>
    <w:rsid w:val="00A03F42"/>
    <w:rsid w:val="00A03FDF"/>
    <w:rsid w:val="00A04080"/>
    <w:rsid w:val="00A04202"/>
    <w:rsid w:val="00A046EC"/>
    <w:rsid w:val="00A1025F"/>
    <w:rsid w:val="00A10641"/>
    <w:rsid w:val="00A108C4"/>
    <w:rsid w:val="00A10D1E"/>
    <w:rsid w:val="00A11A39"/>
    <w:rsid w:val="00A127FA"/>
    <w:rsid w:val="00A12822"/>
    <w:rsid w:val="00A1288A"/>
    <w:rsid w:val="00A13138"/>
    <w:rsid w:val="00A133AE"/>
    <w:rsid w:val="00A13919"/>
    <w:rsid w:val="00A1403A"/>
    <w:rsid w:val="00A142DF"/>
    <w:rsid w:val="00A144F4"/>
    <w:rsid w:val="00A1497C"/>
    <w:rsid w:val="00A14E8D"/>
    <w:rsid w:val="00A152C2"/>
    <w:rsid w:val="00A1537B"/>
    <w:rsid w:val="00A15679"/>
    <w:rsid w:val="00A1573C"/>
    <w:rsid w:val="00A16BB7"/>
    <w:rsid w:val="00A171CE"/>
    <w:rsid w:val="00A172F4"/>
    <w:rsid w:val="00A20385"/>
    <w:rsid w:val="00A20526"/>
    <w:rsid w:val="00A20925"/>
    <w:rsid w:val="00A20B6E"/>
    <w:rsid w:val="00A20E5E"/>
    <w:rsid w:val="00A20EBA"/>
    <w:rsid w:val="00A22DC1"/>
    <w:rsid w:val="00A231B1"/>
    <w:rsid w:val="00A23841"/>
    <w:rsid w:val="00A23962"/>
    <w:rsid w:val="00A23F02"/>
    <w:rsid w:val="00A24B48"/>
    <w:rsid w:val="00A2522B"/>
    <w:rsid w:val="00A25782"/>
    <w:rsid w:val="00A25EEA"/>
    <w:rsid w:val="00A261A6"/>
    <w:rsid w:val="00A26791"/>
    <w:rsid w:val="00A276FC"/>
    <w:rsid w:val="00A2774B"/>
    <w:rsid w:val="00A27FEE"/>
    <w:rsid w:val="00A309D1"/>
    <w:rsid w:val="00A31060"/>
    <w:rsid w:val="00A3122A"/>
    <w:rsid w:val="00A31315"/>
    <w:rsid w:val="00A31AA2"/>
    <w:rsid w:val="00A31F6F"/>
    <w:rsid w:val="00A3227C"/>
    <w:rsid w:val="00A325F7"/>
    <w:rsid w:val="00A32EF2"/>
    <w:rsid w:val="00A3367C"/>
    <w:rsid w:val="00A338DF"/>
    <w:rsid w:val="00A35DFD"/>
    <w:rsid w:val="00A35F6A"/>
    <w:rsid w:val="00A366C8"/>
    <w:rsid w:val="00A36DD6"/>
    <w:rsid w:val="00A36E41"/>
    <w:rsid w:val="00A36EB5"/>
    <w:rsid w:val="00A3778D"/>
    <w:rsid w:val="00A377F0"/>
    <w:rsid w:val="00A404B0"/>
    <w:rsid w:val="00A40934"/>
    <w:rsid w:val="00A4128F"/>
    <w:rsid w:val="00A41903"/>
    <w:rsid w:val="00A42BF1"/>
    <w:rsid w:val="00A42C9A"/>
    <w:rsid w:val="00A43513"/>
    <w:rsid w:val="00A43FCF"/>
    <w:rsid w:val="00A44230"/>
    <w:rsid w:val="00A4436E"/>
    <w:rsid w:val="00A4467B"/>
    <w:rsid w:val="00A447E0"/>
    <w:rsid w:val="00A447F8"/>
    <w:rsid w:val="00A44966"/>
    <w:rsid w:val="00A44F49"/>
    <w:rsid w:val="00A4512B"/>
    <w:rsid w:val="00A45E56"/>
    <w:rsid w:val="00A470B9"/>
    <w:rsid w:val="00A4790A"/>
    <w:rsid w:val="00A47B8C"/>
    <w:rsid w:val="00A47F17"/>
    <w:rsid w:val="00A50011"/>
    <w:rsid w:val="00A508D4"/>
    <w:rsid w:val="00A51207"/>
    <w:rsid w:val="00A51228"/>
    <w:rsid w:val="00A51268"/>
    <w:rsid w:val="00A51286"/>
    <w:rsid w:val="00A518A1"/>
    <w:rsid w:val="00A51A39"/>
    <w:rsid w:val="00A52CBB"/>
    <w:rsid w:val="00A532BE"/>
    <w:rsid w:val="00A5337D"/>
    <w:rsid w:val="00A5345B"/>
    <w:rsid w:val="00A53894"/>
    <w:rsid w:val="00A53B53"/>
    <w:rsid w:val="00A54006"/>
    <w:rsid w:val="00A5421B"/>
    <w:rsid w:val="00A544A4"/>
    <w:rsid w:val="00A54616"/>
    <w:rsid w:val="00A54A2E"/>
    <w:rsid w:val="00A54C80"/>
    <w:rsid w:val="00A54D72"/>
    <w:rsid w:val="00A54ECC"/>
    <w:rsid w:val="00A5513A"/>
    <w:rsid w:val="00A558FB"/>
    <w:rsid w:val="00A559B8"/>
    <w:rsid w:val="00A55E5B"/>
    <w:rsid w:val="00A55FD2"/>
    <w:rsid w:val="00A56246"/>
    <w:rsid w:val="00A5658C"/>
    <w:rsid w:val="00A57057"/>
    <w:rsid w:val="00A6008C"/>
    <w:rsid w:val="00A60351"/>
    <w:rsid w:val="00A60BE6"/>
    <w:rsid w:val="00A61632"/>
    <w:rsid w:val="00A61DCB"/>
    <w:rsid w:val="00A6291D"/>
    <w:rsid w:val="00A62D78"/>
    <w:rsid w:val="00A6316F"/>
    <w:rsid w:val="00A63FBD"/>
    <w:rsid w:val="00A657D7"/>
    <w:rsid w:val="00A65BB7"/>
    <w:rsid w:val="00A66030"/>
    <w:rsid w:val="00A660FE"/>
    <w:rsid w:val="00A6639D"/>
    <w:rsid w:val="00A66643"/>
    <w:rsid w:val="00A66AD3"/>
    <w:rsid w:val="00A67665"/>
    <w:rsid w:val="00A70405"/>
    <w:rsid w:val="00A70680"/>
    <w:rsid w:val="00A7069C"/>
    <w:rsid w:val="00A70D09"/>
    <w:rsid w:val="00A713E1"/>
    <w:rsid w:val="00A7157F"/>
    <w:rsid w:val="00A71918"/>
    <w:rsid w:val="00A721E3"/>
    <w:rsid w:val="00A72F31"/>
    <w:rsid w:val="00A74A2D"/>
    <w:rsid w:val="00A74BEF"/>
    <w:rsid w:val="00A751FB"/>
    <w:rsid w:val="00A75DD6"/>
    <w:rsid w:val="00A75EB6"/>
    <w:rsid w:val="00A76361"/>
    <w:rsid w:val="00A765B4"/>
    <w:rsid w:val="00A76B0E"/>
    <w:rsid w:val="00A7750A"/>
    <w:rsid w:val="00A7798B"/>
    <w:rsid w:val="00A77A24"/>
    <w:rsid w:val="00A80480"/>
    <w:rsid w:val="00A80651"/>
    <w:rsid w:val="00A80782"/>
    <w:rsid w:val="00A80C7A"/>
    <w:rsid w:val="00A80C9B"/>
    <w:rsid w:val="00A8110A"/>
    <w:rsid w:val="00A81EAE"/>
    <w:rsid w:val="00A82EA0"/>
    <w:rsid w:val="00A82FD4"/>
    <w:rsid w:val="00A8342A"/>
    <w:rsid w:val="00A83E70"/>
    <w:rsid w:val="00A84587"/>
    <w:rsid w:val="00A848A9"/>
    <w:rsid w:val="00A84DCD"/>
    <w:rsid w:val="00A84E94"/>
    <w:rsid w:val="00A84FDE"/>
    <w:rsid w:val="00A859D3"/>
    <w:rsid w:val="00A85A7F"/>
    <w:rsid w:val="00A868DA"/>
    <w:rsid w:val="00A86A56"/>
    <w:rsid w:val="00A86A82"/>
    <w:rsid w:val="00A86B77"/>
    <w:rsid w:val="00A86BAD"/>
    <w:rsid w:val="00A87AA4"/>
    <w:rsid w:val="00A90E91"/>
    <w:rsid w:val="00A924BB"/>
    <w:rsid w:val="00A9277D"/>
    <w:rsid w:val="00A92A82"/>
    <w:rsid w:val="00A93A79"/>
    <w:rsid w:val="00A93F81"/>
    <w:rsid w:val="00A93FD3"/>
    <w:rsid w:val="00A94C83"/>
    <w:rsid w:val="00A94FAE"/>
    <w:rsid w:val="00A96F09"/>
    <w:rsid w:val="00AA12CD"/>
    <w:rsid w:val="00AA15D7"/>
    <w:rsid w:val="00AA17D5"/>
    <w:rsid w:val="00AA28CC"/>
    <w:rsid w:val="00AA305F"/>
    <w:rsid w:val="00AA4668"/>
    <w:rsid w:val="00AA5380"/>
    <w:rsid w:val="00AA5A40"/>
    <w:rsid w:val="00AA5AF4"/>
    <w:rsid w:val="00AA6025"/>
    <w:rsid w:val="00AA67DD"/>
    <w:rsid w:val="00AA7ECF"/>
    <w:rsid w:val="00AB0084"/>
    <w:rsid w:val="00AB0B26"/>
    <w:rsid w:val="00AB0E33"/>
    <w:rsid w:val="00AB1CE2"/>
    <w:rsid w:val="00AB2A7A"/>
    <w:rsid w:val="00AB2F01"/>
    <w:rsid w:val="00AB3525"/>
    <w:rsid w:val="00AB4124"/>
    <w:rsid w:val="00AB48BC"/>
    <w:rsid w:val="00AB491F"/>
    <w:rsid w:val="00AB5457"/>
    <w:rsid w:val="00AB5FE7"/>
    <w:rsid w:val="00AB6D82"/>
    <w:rsid w:val="00AB7262"/>
    <w:rsid w:val="00AB7A12"/>
    <w:rsid w:val="00AB7AC1"/>
    <w:rsid w:val="00AC0319"/>
    <w:rsid w:val="00AC0511"/>
    <w:rsid w:val="00AC06FA"/>
    <w:rsid w:val="00AC0749"/>
    <w:rsid w:val="00AC0FA1"/>
    <w:rsid w:val="00AC219C"/>
    <w:rsid w:val="00AC231C"/>
    <w:rsid w:val="00AC2EB8"/>
    <w:rsid w:val="00AC39C6"/>
    <w:rsid w:val="00AC3B39"/>
    <w:rsid w:val="00AC4486"/>
    <w:rsid w:val="00AC579F"/>
    <w:rsid w:val="00AC5F3E"/>
    <w:rsid w:val="00AC61AB"/>
    <w:rsid w:val="00AC6D9C"/>
    <w:rsid w:val="00AC7C66"/>
    <w:rsid w:val="00AC7D74"/>
    <w:rsid w:val="00AC7E08"/>
    <w:rsid w:val="00AD059B"/>
    <w:rsid w:val="00AD0D0F"/>
    <w:rsid w:val="00AD11C3"/>
    <w:rsid w:val="00AD2FC7"/>
    <w:rsid w:val="00AD399A"/>
    <w:rsid w:val="00AD39D2"/>
    <w:rsid w:val="00AD3A0F"/>
    <w:rsid w:val="00AD3B33"/>
    <w:rsid w:val="00AD5B05"/>
    <w:rsid w:val="00AD5CEA"/>
    <w:rsid w:val="00AD61A0"/>
    <w:rsid w:val="00AD6D59"/>
    <w:rsid w:val="00AD6D5C"/>
    <w:rsid w:val="00AD6DF7"/>
    <w:rsid w:val="00AD6E60"/>
    <w:rsid w:val="00AD6F21"/>
    <w:rsid w:val="00AD752F"/>
    <w:rsid w:val="00AD7558"/>
    <w:rsid w:val="00AD7AD8"/>
    <w:rsid w:val="00AD7C6C"/>
    <w:rsid w:val="00AE06B4"/>
    <w:rsid w:val="00AE12B9"/>
    <w:rsid w:val="00AE14F3"/>
    <w:rsid w:val="00AE1544"/>
    <w:rsid w:val="00AE17CA"/>
    <w:rsid w:val="00AE17FF"/>
    <w:rsid w:val="00AE1AEA"/>
    <w:rsid w:val="00AE2085"/>
    <w:rsid w:val="00AE2C85"/>
    <w:rsid w:val="00AE36DC"/>
    <w:rsid w:val="00AE54B1"/>
    <w:rsid w:val="00AE5C0A"/>
    <w:rsid w:val="00AE78AA"/>
    <w:rsid w:val="00AE7D1E"/>
    <w:rsid w:val="00AE7DB9"/>
    <w:rsid w:val="00AE7E6D"/>
    <w:rsid w:val="00AE7EC9"/>
    <w:rsid w:val="00AF0443"/>
    <w:rsid w:val="00AF09DD"/>
    <w:rsid w:val="00AF09FE"/>
    <w:rsid w:val="00AF13B0"/>
    <w:rsid w:val="00AF14D2"/>
    <w:rsid w:val="00AF1530"/>
    <w:rsid w:val="00AF1837"/>
    <w:rsid w:val="00AF1CB5"/>
    <w:rsid w:val="00AF2181"/>
    <w:rsid w:val="00AF230F"/>
    <w:rsid w:val="00AF2C82"/>
    <w:rsid w:val="00AF31BB"/>
    <w:rsid w:val="00AF3995"/>
    <w:rsid w:val="00AF4060"/>
    <w:rsid w:val="00AF4173"/>
    <w:rsid w:val="00AF5CD7"/>
    <w:rsid w:val="00AF61D1"/>
    <w:rsid w:val="00AF62AE"/>
    <w:rsid w:val="00AF63C9"/>
    <w:rsid w:val="00AF66C5"/>
    <w:rsid w:val="00AF6A27"/>
    <w:rsid w:val="00AF6CC1"/>
    <w:rsid w:val="00AF72EF"/>
    <w:rsid w:val="00AF7642"/>
    <w:rsid w:val="00AF7649"/>
    <w:rsid w:val="00AF7799"/>
    <w:rsid w:val="00AF798B"/>
    <w:rsid w:val="00AF7E21"/>
    <w:rsid w:val="00AF7EED"/>
    <w:rsid w:val="00B00B67"/>
    <w:rsid w:val="00B01059"/>
    <w:rsid w:val="00B0143D"/>
    <w:rsid w:val="00B0180B"/>
    <w:rsid w:val="00B01B8B"/>
    <w:rsid w:val="00B031A6"/>
    <w:rsid w:val="00B0335E"/>
    <w:rsid w:val="00B0403E"/>
    <w:rsid w:val="00B04E55"/>
    <w:rsid w:val="00B05636"/>
    <w:rsid w:val="00B057D5"/>
    <w:rsid w:val="00B05862"/>
    <w:rsid w:val="00B05D32"/>
    <w:rsid w:val="00B07292"/>
    <w:rsid w:val="00B0744D"/>
    <w:rsid w:val="00B078A2"/>
    <w:rsid w:val="00B07A69"/>
    <w:rsid w:val="00B07B88"/>
    <w:rsid w:val="00B10B47"/>
    <w:rsid w:val="00B11B0C"/>
    <w:rsid w:val="00B11B78"/>
    <w:rsid w:val="00B1227A"/>
    <w:rsid w:val="00B12499"/>
    <w:rsid w:val="00B134B4"/>
    <w:rsid w:val="00B138B3"/>
    <w:rsid w:val="00B14FAE"/>
    <w:rsid w:val="00B1500A"/>
    <w:rsid w:val="00B200B3"/>
    <w:rsid w:val="00B2071E"/>
    <w:rsid w:val="00B21CD7"/>
    <w:rsid w:val="00B22199"/>
    <w:rsid w:val="00B221E1"/>
    <w:rsid w:val="00B228EE"/>
    <w:rsid w:val="00B22B3D"/>
    <w:rsid w:val="00B22CF8"/>
    <w:rsid w:val="00B23437"/>
    <w:rsid w:val="00B23E98"/>
    <w:rsid w:val="00B2433F"/>
    <w:rsid w:val="00B246F6"/>
    <w:rsid w:val="00B24F45"/>
    <w:rsid w:val="00B24F97"/>
    <w:rsid w:val="00B25448"/>
    <w:rsid w:val="00B254DD"/>
    <w:rsid w:val="00B2595A"/>
    <w:rsid w:val="00B25D7B"/>
    <w:rsid w:val="00B26E15"/>
    <w:rsid w:val="00B277B6"/>
    <w:rsid w:val="00B27A50"/>
    <w:rsid w:val="00B30C0F"/>
    <w:rsid w:val="00B311A0"/>
    <w:rsid w:val="00B312CE"/>
    <w:rsid w:val="00B3183E"/>
    <w:rsid w:val="00B322DE"/>
    <w:rsid w:val="00B324B8"/>
    <w:rsid w:val="00B33294"/>
    <w:rsid w:val="00B33D41"/>
    <w:rsid w:val="00B3424B"/>
    <w:rsid w:val="00B34B3D"/>
    <w:rsid w:val="00B34D4D"/>
    <w:rsid w:val="00B35857"/>
    <w:rsid w:val="00B358D2"/>
    <w:rsid w:val="00B364BE"/>
    <w:rsid w:val="00B36728"/>
    <w:rsid w:val="00B3675D"/>
    <w:rsid w:val="00B36C92"/>
    <w:rsid w:val="00B36FF6"/>
    <w:rsid w:val="00B3712F"/>
    <w:rsid w:val="00B37753"/>
    <w:rsid w:val="00B40D70"/>
    <w:rsid w:val="00B42F8F"/>
    <w:rsid w:val="00B43782"/>
    <w:rsid w:val="00B43A5F"/>
    <w:rsid w:val="00B44D59"/>
    <w:rsid w:val="00B4547D"/>
    <w:rsid w:val="00B461A7"/>
    <w:rsid w:val="00B46348"/>
    <w:rsid w:val="00B4690F"/>
    <w:rsid w:val="00B4702C"/>
    <w:rsid w:val="00B47055"/>
    <w:rsid w:val="00B47059"/>
    <w:rsid w:val="00B5086C"/>
    <w:rsid w:val="00B51084"/>
    <w:rsid w:val="00B512B1"/>
    <w:rsid w:val="00B52098"/>
    <w:rsid w:val="00B52458"/>
    <w:rsid w:val="00B53604"/>
    <w:rsid w:val="00B53C0C"/>
    <w:rsid w:val="00B54232"/>
    <w:rsid w:val="00B5436A"/>
    <w:rsid w:val="00B54CB3"/>
    <w:rsid w:val="00B54E28"/>
    <w:rsid w:val="00B55DD4"/>
    <w:rsid w:val="00B56332"/>
    <w:rsid w:val="00B56483"/>
    <w:rsid w:val="00B57102"/>
    <w:rsid w:val="00B60201"/>
    <w:rsid w:val="00B6089D"/>
    <w:rsid w:val="00B611A2"/>
    <w:rsid w:val="00B61422"/>
    <w:rsid w:val="00B6162D"/>
    <w:rsid w:val="00B617F0"/>
    <w:rsid w:val="00B6190C"/>
    <w:rsid w:val="00B62A68"/>
    <w:rsid w:val="00B62B76"/>
    <w:rsid w:val="00B63003"/>
    <w:rsid w:val="00B630DF"/>
    <w:rsid w:val="00B63774"/>
    <w:rsid w:val="00B63C3D"/>
    <w:rsid w:val="00B6424D"/>
    <w:rsid w:val="00B642AF"/>
    <w:rsid w:val="00B64440"/>
    <w:rsid w:val="00B64A39"/>
    <w:rsid w:val="00B65214"/>
    <w:rsid w:val="00B65259"/>
    <w:rsid w:val="00B65AB5"/>
    <w:rsid w:val="00B65BC8"/>
    <w:rsid w:val="00B65D41"/>
    <w:rsid w:val="00B6623F"/>
    <w:rsid w:val="00B663CE"/>
    <w:rsid w:val="00B6660C"/>
    <w:rsid w:val="00B6694F"/>
    <w:rsid w:val="00B66EAA"/>
    <w:rsid w:val="00B70887"/>
    <w:rsid w:val="00B70CF1"/>
    <w:rsid w:val="00B714EF"/>
    <w:rsid w:val="00B717D5"/>
    <w:rsid w:val="00B71824"/>
    <w:rsid w:val="00B724EF"/>
    <w:rsid w:val="00B72E35"/>
    <w:rsid w:val="00B74ADE"/>
    <w:rsid w:val="00B74E18"/>
    <w:rsid w:val="00B75173"/>
    <w:rsid w:val="00B75BCD"/>
    <w:rsid w:val="00B75DF6"/>
    <w:rsid w:val="00B75FDD"/>
    <w:rsid w:val="00B7600F"/>
    <w:rsid w:val="00B76C28"/>
    <w:rsid w:val="00B776F6"/>
    <w:rsid w:val="00B8032D"/>
    <w:rsid w:val="00B803DF"/>
    <w:rsid w:val="00B80B31"/>
    <w:rsid w:val="00B80C46"/>
    <w:rsid w:val="00B81C51"/>
    <w:rsid w:val="00B820A9"/>
    <w:rsid w:val="00B82190"/>
    <w:rsid w:val="00B821E1"/>
    <w:rsid w:val="00B82218"/>
    <w:rsid w:val="00B825C4"/>
    <w:rsid w:val="00B828B1"/>
    <w:rsid w:val="00B8300F"/>
    <w:rsid w:val="00B8319F"/>
    <w:rsid w:val="00B83769"/>
    <w:rsid w:val="00B83F9C"/>
    <w:rsid w:val="00B84445"/>
    <w:rsid w:val="00B85059"/>
    <w:rsid w:val="00B8519B"/>
    <w:rsid w:val="00B85307"/>
    <w:rsid w:val="00B853E1"/>
    <w:rsid w:val="00B855FB"/>
    <w:rsid w:val="00B85B25"/>
    <w:rsid w:val="00B86CAB"/>
    <w:rsid w:val="00B8728F"/>
    <w:rsid w:val="00B875E6"/>
    <w:rsid w:val="00B878AA"/>
    <w:rsid w:val="00B90763"/>
    <w:rsid w:val="00B909EA"/>
    <w:rsid w:val="00B90B65"/>
    <w:rsid w:val="00B90D29"/>
    <w:rsid w:val="00B90F05"/>
    <w:rsid w:val="00B91246"/>
    <w:rsid w:val="00B9140C"/>
    <w:rsid w:val="00B91721"/>
    <w:rsid w:val="00B9194B"/>
    <w:rsid w:val="00B91C86"/>
    <w:rsid w:val="00B928BA"/>
    <w:rsid w:val="00B9346D"/>
    <w:rsid w:val="00B938F3"/>
    <w:rsid w:val="00B9391E"/>
    <w:rsid w:val="00B9421A"/>
    <w:rsid w:val="00B9435F"/>
    <w:rsid w:val="00B94A25"/>
    <w:rsid w:val="00B95FCE"/>
    <w:rsid w:val="00B9604C"/>
    <w:rsid w:val="00B97BE0"/>
    <w:rsid w:val="00BA0709"/>
    <w:rsid w:val="00BA160C"/>
    <w:rsid w:val="00BA2DF4"/>
    <w:rsid w:val="00BA3150"/>
    <w:rsid w:val="00BA321F"/>
    <w:rsid w:val="00BA3BC7"/>
    <w:rsid w:val="00BA4568"/>
    <w:rsid w:val="00BA53A2"/>
    <w:rsid w:val="00BA58B8"/>
    <w:rsid w:val="00BA606B"/>
    <w:rsid w:val="00BA71D9"/>
    <w:rsid w:val="00BB0EE3"/>
    <w:rsid w:val="00BB105A"/>
    <w:rsid w:val="00BB12B1"/>
    <w:rsid w:val="00BB1F66"/>
    <w:rsid w:val="00BB2226"/>
    <w:rsid w:val="00BB27B2"/>
    <w:rsid w:val="00BB28BD"/>
    <w:rsid w:val="00BB2CF7"/>
    <w:rsid w:val="00BB304C"/>
    <w:rsid w:val="00BB382A"/>
    <w:rsid w:val="00BB3976"/>
    <w:rsid w:val="00BB39F3"/>
    <w:rsid w:val="00BB3DA4"/>
    <w:rsid w:val="00BB3FAD"/>
    <w:rsid w:val="00BB45C2"/>
    <w:rsid w:val="00BB57F7"/>
    <w:rsid w:val="00BB5EB0"/>
    <w:rsid w:val="00BB60D2"/>
    <w:rsid w:val="00BB6B47"/>
    <w:rsid w:val="00BB6DB3"/>
    <w:rsid w:val="00BB6DE0"/>
    <w:rsid w:val="00BC01EB"/>
    <w:rsid w:val="00BC038E"/>
    <w:rsid w:val="00BC12C4"/>
    <w:rsid w:val="00BC17C2"/>
    <w:rsid w:val="00BC1F2B"/>
    <w:rsid w:val="00BC3064"/>
    <w:rsid w:val="00BC33CB"/>
    <w:rsid w:val="00BC38B1"/>
    <w:rsid w:val="00BC4229"/>
    <w:rsid w:val="00BC448E"/>
    <w:rsid w:val="00BC4AD4"/>
    <w:rsid w:val="00BC4E0A"/>
    <w:rsid w:val="00BC6270"/>
    <w:rsid w:val="00BC67B1"/>
    <w:rsid w:val="00BC6FB8"/>
    <w:rsid w:val="00BC7723"/>
    <w:rsid w:val="00BC7A9A"/>
    <w:rsid w:val="00BD0796"/>
    <w:rsid w:val="00BD0BD9"/>
    <w:rsid w:val="00BD0C8B"/>
    <w:rsid w:val="00BD11EF"/>
    <w:rsid w:val="00BD14AB"/>
    <w:rsid w:val="00BD16AC"/>
    <w:rsid w:val="00BD1967"/>
    <w:rsid w:val="00BD1C17"/>
    <w:rsid w:val="00BD2236"/>
    <w:rsid w:val="00BD2F83"/>
    <w:rsid w:val="00BD3CDB"/>
    <w:rsid w:val="00BD4702"/>
    <w:rsid w:val="00BD52E2"/>
    <w:rsid w:val="00BD5A6D"/>
    <w:rsid w:val="00BD70B0"/>
    <w:rsid w:val="00BD789F"/>
    <w:rsid w:val="00BD7A5F"/>
    <w:rsid w:val="00BE03DE"/>
    <w:rsid w:val="00BE0A88"/>
    <w:rsid w:val="00BE0EBD"/>
    <w:rsid w:val="00BE1FBA"/>
    <w:rsid w:val="00BE2608"/>
    <w:rsid w:val="00BE2990"/>
    <w:rsid w:val="00BE2A44"/>
    <w:rsid w:val="00BE300C"/>
    <w:rsid w:val="00BE32BF"/>
    <w:rsid w:val="00BE3C72"/>
    <w:rsid w:val="00BE45FC"/>
    <w:rsid w:val="00BE505E"/>
    <w:rsid w:val="00BE7B30"/>
    <w:rsid w:val="00BE7B74"/>
    <w:rsid w:val="00BF0040"/>
    <w:rsid w:val="00BF039B"/>
    <w:rsid w:val="00BF09F6"/>
    <w:rsid w:val="00BF0FFC"/>
    <w:rsid w:val="00BF1484"/>
    <w:rsid w:val="00BF1B51"/>
    <w:rsid w:val="00BF1EA7"/>
    <w:rsid w:val="00BF234E"/>
    <w:rsid w:val="00BF262B"/>
    <w:rsid w:val="00BF279A"/>
    <w:rsid w:val="00BF2833"/>
    <w:rsid w:val="00BF2A2A"/>
    <w:rsid w:val="00BF37E8"/>
    <w:rsid w:val="00BF3C4E"/>
    <w:rsid w:val="00BF426A"/>
    <w:rsid w:val="00BF4411"/>
    <w:rsid w:val="00BF4576"/>
    <w:rsid w:val="00BF4E96"/>
    <w:rsid w:val="00BF57F0"/>
    <w:rsid w:val="00BF64B7"/>
    <w:rsid w:val="00BF68DC"/>
    <w:rsid w:val="00BF7982"/>
    <w:rsid w:val="00C00213"/>
    <w:rsid w:val="00C00D49"/>
    <w:rsid w:val="00C0124B"/>
    <w:rsid w:val="00C01F3E"/>
    <w:rsid w:val="00C02229"/>
    <w:rsid w:val="00C024F8"/>
    <w:rsid w:val="00C027E7"/>
    <w:rsid w:val="00C02A46"/>
    <w:rsid w:val="00C03367"/>
    <w:rsid w:val="00C0359A"/>
    <w:rsid w:val="00C03B93"/>
    <w:rsid w:val="00C04052"/>
    <w:rsid w:val="00C043D4"/>
    <w:rsid w:val="00C049DB"/>
    <w:rsid w:val="00C04D65"/>
    <w:rsid w:val="00C04F7F"/>
    <w:rsid w:val="00C05309"/>
    <w:rsid w:val="00C053BB"/>
    <w:rsid w:val="00C05CA1"/>
    <w:rsid w:val="00C05EF2"/>
    <w:rsid w:val="00C066DE"/>
    <w:rsid w:val="00C067D4"/>
    <w:rsid w:val="00C067D5"/>
    <w:rsid w:val="00C101DD"/>
    <w:rsid w:val="00C10344"/>
    <w:rsid w:val="00C10467"/>
    <w:rsid w:val="00C10BBD"/>
    <w:rsid w:val="00C10FB9"/>
    <w:rsid w:val="00C113D5"/>
    <w:rsid w:val="00C11882"/>
    <w:rsid w:val="00C11DE4"/>
    <w:rsid w:val="00C128F7"/>
    <w:rsid w:val="00C12A6C"/>
    <w:rsid w:val="00C1310A"/>
    <w:rsid w:val="00C1351F"/>
    <w:rsid w:val="00C14472"/>
    <w:rsid w:val="00C14FE8"/>
    <w:rsid w:val="00C151B4"/>
    <w:rsid w:val="00C15A05"/>
    <w:rsid w:val="00C16262"/>
    <w:rsid w:val="00C1669D"/>
    <w:rsid w:val="00C16725"/>
    <w:rsid w:val="00C17619"/>
    <w:rsid w:val="00C17B45"/>
    <w:rsid w:val="00C17F06"/>
    <w:rsid w:val="00C17FB5"/>
    <w:rsid w:val="00C204EB"/>
    <w:rsid w:val="00C210C4"/>
    <w:rsid w:val="00C21B07"/>
    <w:rsid w:val="00C2279F"/>
    <w:rsid w:val="00C22BB6"/>
    <w:rsid w:val="00C23547"/>
    <w:rsid w:val="00C23C2A"/>
    <w:rsid w:val="00C23EF8"/>
    <w:rsid w:val="00C24294"/>
    <w:rsid w:val="00C24442"/>
    <w:rsid w:val="00C24937"/>
    <w:rsid w:val="00C2545B"/>
    <w:rsid w:val="00C254ED"/>
    <w:rsid w:val="00C2582A"/>
    <w:rsid w:val="00C26B8F"/>
    <w:rsid w:val="00C2705F"/>
    <w:rsid w:val="00C2768C"/>
    <w:rsid w:val="00C276BC"/>
    <w:rsid w:val="00C2782D"/>
    <w:rsid w:val="00C27AD1"/>
    <w:rsid w:val="00C27B56"/>
    <w:rsid w:val="00C30165"/>
    <w:rsid w:val="00C30928"/>
    <w:rsid w:val="00C30B91"/>
    <w:rsid w:val="00C31CDC"/>
    <w:rsid w:val="00C3211E"/>
    <w:rsid w:val="00C32284"/>
    <w:rsid w:val="00C325B6"/>
    <w:rsid w:val="00C34224"/>
    <w:rsid w:val="00C34548"/>
    <w:rsid w:val="00C34B41"/>
    <w:rsid w:val="00C34E55"/>
    <w:rsid w:val="00C359FF"/>
    <w:rsid w:val="00C35B1C"/>
    <w:rsid w:val="00C35EC2"/>
    <w:rsid w:val="00C363E5"/>
    <w:rsid w:val="00C36D07"/>
    <w:rsid w:val="00C3738D"/>
    <w:rsid w:val="00C400C5"/>
    <w:rsid w:val="00C4050D"/>
    <w:rsid w:val="00C409D2"/>
    <w:rsid w:val="00C409F6"/>
    <w:rsid w:val="00C40A0A"/>
    <w:rsid w:val="00C40CB5"/>
    <w:rsid w:val="00C41251"/>
    <w:rsid w:val="00C41E61"/>
    <w:rsid w:val="00C4282B"/>
    <w:rsid w:val="00C4293F"/>
    <w:rsid w:val="00C43167"/>
    <w:rsid w:val="00C44781"/>
    <w:rsid w:val="00C44B50"/>
    <w:rsid w:val="00C44BCB"/>
    <w:rsid w:val="00C45EAA"/>
    <w:rsid w:val="00C46554"/>
    <w:rsid w:val="00C467CA"/>
    <w:rsid w:val="00C46BA0"/>
    <w:rsid w:val="00C4719B"/>
    <w:rsid w:val="00C47224"/>
    <w:rsid w:val="00C475D0"/>
    <w:rsid w:val="00C47746"/>
    <w:rsid w:val="00C50872"/>
    <w:rsid w:val="00C51914"/>
    <w:rsid w:val="00C523C8"/>
    <w:rsid w:val="00C529EB"/>
    <w:rsid w:val="00C532FA"/>
    <w:rsid w:val="00C53429"/>
    <w:rsid w:val="00C5359C"/>
    <w:rsid w:val="00C536DA"/>
    <w:rsid w:val="00C53976"/>
    <w:rsid w:val="00C545FC"/>
    <w:rsid w:val="00C54755"/>
    <w:rsid w:val="00C54D65"/>
    <w:rsid w:val="00C5585A"/>
    <w:rsid w:val="00C55A3A"/>
    <w:rsid w:val="00C5650E"/>
    <w:rsid w:val="00C570A4"/>
    <w:rsid w:val="00C60186"/>
    <w:rsid w:val="00C60A63"/>
    <w:rsid w:val="00C60A6B"/>
    <w:rsid w:val="00C60ED6"/>
    <w:rsid w:val="00C619FA"/>
    <w:rsid w:val="00C61D89"/>
    <w:rsid w:val="00C62A12"/>
    <w:rsid w:val="00C62BD6"/>
    <w:rsid w:val="00C62D02"/>
    <w:rsid w:val="00C63271"/>
    <w:rsid w:val="00C632A0"/>
    <w:rsid w:val="00C637D3"/>
    <w:rsid w:val="00C647F9"/>
    <w:rsid w:val="00C655B7"/>
    <w:rsid w:val="00C656A9"/>
    <w:rsid w:val="00C659C4"/>
    <w:rsid w:val="00C65BF2"/>
    <w:rsid w:val="00C67B8A"/>
    <w:rsid w:val="00C70F1F"/>
    <w:rsid w:val="00C71684"/>
    <w:rsid w:val="00C718A1"/>
    <w:rsid w:val="00C71963"/>
    <w:rsid w:val="00C71BF5"/>
    <w:rsid w:val="00C71FBC"/>
    <w:rsid w:val="00C72C7E"/>
    <w:rsid w:val="00C72CB1"/>
    <w:rsid w:val="00C72F37"/>
    <w:rsid w:val="00C7355A"/>
    <w:rsid w:val="00C73D88"/>
    <w:rsid w:val="00C741D1"/>
    <w:rsid w:val="00C747B0"/>
    <w:rsid w:val="00C75E23"/>
    <w:rsid w:val="00C75EED"/>
    <w:rsid w:val="00C76092"/>
    <w:rsid w:val="00C76488"/>
    <w:rsid w:val="00C76FC8"/>
    <w:rsid w:val="00C771D8"/>
    <w:rsid w:val="00C773F2"/>
    <w:rsid w:val="00C77C1C"/>
    <w:rsid w:val="00C80960"/>
    <w:rsid w:val="00C80B97"/>
    <w:rsid w:val="00C81ADA"/>
    <w:rsid w:val="00C81C15"/>
    <w:rsid w:val="00C81D1F"/>
    <w:rsid w:val="00C82EBA"/>
    <w:rsid w:val="00C830F5"/>
    <w:rsid w:val="00C8376A"/>
    <w:rsid w:val="00C83A1F"/>
    <w:rsid w:val="00C83A85"/>
    <w:rsid w:val="00C8440E"/>
    <w:rsid w:val="00C85BD6"/>
    <w:rsid w:val="00C8618B"/>
    <w:rsid w:val="00C86562"/>
    <w:rsid w:val="00C867E3"/>
    <w:rsid w:val="00C86860"/>
    <w:rsid w:val="00C86FA9"/>
    <w:rsid w:val="00C874C7"/>
    <w:rsid w:val="00C87D44"/>
    <w:rsid w:val="00C90298"/>
    <w:rsid w:val="00C904A4"/>
    <w:rsid w:val="00C90EB5"/>
    <w:rsid w:val="00C91B54"/>
    <w:rsid w:val="00C93162"/>
    <w:rsid w:val="00C93C95"/>
    <w:rsid w:val="00C93FB8"/>
    <w:rsid w:val="00C93FCA"/>
    <w:rsid w:val="00C94A36"/>
    <w:rsid w:val="00C94E9E"/>
    <w:rsid w:val="00C95AED"/>
    <w:rsid w:val="00C95E3E"/>
    <w:rsid w:val="00C96DEA"/>
    <w:rsid w:val="00CA0508"/>
    <w:rsid w:val="00CA1F2C"/>
    <w:rsid w:val="00CA2378"/>
    <w:rsid w:val="00CA24A9"/>
    <w:rsid w:val="00CA2580"/>
    <w:rsid w:val="00CA277B"/>
    <w:rsid w:val="00CA397A"/>
    <w:rsid w:val="00CA3B17"/>
    <w:rsid w:val="00CA3EB0"/>
    <w:rsid w:val="00CA40B5"/>
    <w:rsid w:val="00CA477A"/>
    <w:rsid w:val="00CA492D"/>
    <w:rsid w:val="00CA4BFE"/>
    <w:rsid w:val="00CA51A4"/>
    <w:rsid w:val="00CA54B2"/>
    <w:rsid w:val="00CA59FB"/>
    <w:rsid w:val="00CA5A66"/>
    <w:rsid w:val="00CA6654"/>
    <w:rsid w:val="00CA67D3"/>
    <w:rsid w:val="00CA7854"/>
    <w:rsid w:val="00CA7E9F"/>
    <w:rsid w:val="00CB19C4"/>
    <w:rsid w:val="00CB1C25"/>
    <w:rsid w:val="00CB1D35"/>
    <w:rsid w:val="00CB30CF"/>
    <w:rsid w:val="00CB35DC"/>
    <w:rsid w:val="00CB3C08"/>
    <w:rsid w:val="00CB4963"/>
    <w:rsid w:val="00CB5706"/>
    <w:rsid w:val="00CB5E07"/>
    <w:rsid w:val="00CB6347"/>
    <w:rsid w:val="00CB691D"/>
    <w:rsid w:val="00CB751E"/>
    <w:rsid w:val="00CB7F78"/>
    <w:rsid w:val="00CB7FF5"/>
    <w:rsid w:val="00CC0AFE"/>
    <w:rsid w:val="00CC1E1D"/>
    <w:rsid w:val="00CC2150"/>
    <w:rsid w:val="00CC23F5"/>
    <w:rsid w:val="00CC3059"/>
    <w:rsid w:val="00CC31A6"/>
    <w:rsid w:val="00CC331B"/>
    <w:rsid w:val="00CC36F8"/>
    <w:rsid w:val="00CC3D55"/>
    <w:rsid w:val="00CC47B4"/>
    <w:rsid w:val="00CC4F70"/>
    <w:rsid w:val="00CC5FCB"/>
    <w:rsid w:val="00CC6B03"/>
    <w:rsid w:val="00CC7247"/>
    <w:rsid w:val="00CC72D0"/>
    <w:rsid w:val="00CC7E79"/>
    <w:rsid w:val="00CD0716"/>
    <w:rsid w:val="00CD0D58"/>
    <w:rsid w:val="00CD0E26"/>
    <w:rsid w:val="00CD143B"/>
    <w:rsid w:val="00CD1525"/>
    <w:rsid w:val="00CD1EB9"/>
    <w:rsid w:val="00CD1FD0"/>
    <w:rsid w:val="00CD2C5C"/>
    <w:rsid w:val="00CD2EC4"/>
    <w:rsid w:val="00CD40A2"/>
    <w:rsid w:val="00CD4465"/>
    <w:rsid w:val="00CD49BD"/>
    <w:rsid w:val="00CD4AC5"/>
    <w:rsid w:val="00CD536F"/>
    <w:rsid w:val="00CD5E87"/>
    <w:rsid w:val="00CE1CA4"/>
    <w:rsid w:val="00CE1E75"/>
    <w:rsid w:val="00CE22D6"/>
    <w:rsid w:val="00CE264F"/>
    <w:rsid w:val="00CE26AE"/>
    <w:rsid w:val="00CE2D09"/>
    <w:rsid w:val="00CE2DB7"/>
    <w:rsid w:val="00CE2DC2"/>
    <w:rsid w:val="00CE2DE7"/>
    <w:rsid w:val="00CE322D"/>
    <w:rsid w:val="00CE3D43"/>
    <w:rsid w:val="00CE3FD6"/>
    <w:rsid w:val="00CE4430"/>
    <w:rsid w:val="00CE481E"/>
    <w:rsid w:val="00CE48AF"/>
    <w:rsid w:val="00CE4B09"/>
    <w:rsid w:val="00CE4D5B"/>
    <w:rsid w:val="00CE5608"/>
    <w:rsid w:val="00CE5641"/>
    <w:rsid w:val="00CE58A3"/>
    <w:rsid w:val="00CE60CD"/>
    <w:rsid w:val="00CE60F8"/>
    <w:rsid w:val="00CE7716"/>
    <w:rsid w:val="00CE79E3"/>
    <w:rsid w:val="00CF0458"/>
    <w:rsid w:val="00CF0ABD"/>
    <w:rsid w:val="00CF0D5F"/>
    <w:rsid w:val="00CF0DF4"/>
    <w:rsid w:val="00CF1331"/>
    <w:rsid w:val="00CF1AE6"/>
    <w:rsid w:val="00CF3817"/>
    <w:rsid w:val="00CF3873"/>
    <w:rsid w:val="00CF39FA"/>
    <w:rsid w:val="00CF428F"/>
    <w:rsid w:val="00CF4D8C"/>
    <w:rsid w:val="00CF5555"/>
    <w:rsid w:val="00CF5715"/>
    <w:rsid w:val="00CF57D2"/>
    <w:rsid w:val="00CF6463"/>
    <w:rsid w:val="00CF6846"/>
    <w:rsid w:val="00CF714D"/>
    <w:rsid w:val="00CF7151"/>
    <w:rsid w:val="00CF77F6"/>
    <w:rsid w:val="00CF7E5B"/>
    <w:rsid w:val="00CF7FFB"/>
    <w:rsid w:val="00D003EE"/>
    <w:rsid w:val="00D009A7"/>
    <w:rsid w:val="00D010BC"/>
    <w:rsid w:val="00D018C1"/>
    <w:rsid w:val="00D01A50"/>
    <w:rsid w:val="00D023B2"/>
    <w:rsid w:val="00D0327A"/>
    <w:rsid w:val="00D03BB4"/>
    <w:rsid w:val="00D040E5"/>
    <w:rsid w:val="00D043BE"/>
    <w:rsid w:val="00D043D2"/>
    <w:rsid w:val="00D04545"/>
    <w:rsid w:val="00D04984"/>
    <w:rsid w:val="00D0502F"/>
    <w:rsid w:val="00D051FE"/>
    <w:rsid w:val="00D0550B"/>
    <w:rsid w:val="00D0586E"/>
    <w:rsid w:val="00D05AEB"/>
    <w:rsid w:val="00D05CA7"/>
    <w:rsid w:val="00D05EBE"/>
    <w:rsid w:val="00D06501"/>
    <w:rsid w:val="00D067A1"/>
    <w:rsid w:val="00D067C7"/>
    <w:rsid w:val="00D10717"/>
    <w:rsid w:val="00D1141E"/>
    <w:rsid w:val="00D1149F"/>
    <w:rsid w:val="00D12D80"/>
    <w:rsid w:val="00D13CA7"/>
    <w:rsid w:val="00D14103"/>
    <w:rsid w:val="00D1421E"/>
    <w:rsid w:val="00D14616"/>
    <w:rsid w:val="00D14A74"/>
    <w:rsid w:val="00D14FFC"/>
    <w:rsid w:val="00D1550F"/>
    <w:rsid w:val="00D15A81"/>
    <w:rsid w:val="00D167B1"/>
    <w:rsid w:val="00D1680E"/>
    <w:rsid w:val="00D169C3"/>
    <w:rsid w:val="00D16BE9"/>
    <w:rsid w:val="00D20531"/>
    <w:rsid w:val="00D20647"/>
    <w:rsid w:val="00D20F60"/>
    <w:rsid w:val="00D210FB"/>
    <w:rsid w:val="00D218B7"/>
    <w:rsid w:val="00D219E2"/>
    <w:rsid w:val="00D224C0"/>
    <w:rsid w:val="00D22853"/>
    <w:rsid w:val="00D22F24"/>
    <w:rsid w:val="00D236BA"/>
    <w:rsid w:val="00D2398D"/>
    <w:rsid w:val="00D23A86"/>
    <w:rsid w:val="00D23C37"/>
    <w:rsid w:val="00D23D58"/>
    <w:rsid w:val="00D248E0"/>
    <w:rsid w:val="00D25790"/>
    <w:rsid w:val="00D262DE"/>
    <w:rsid w:val="00D2711A"/>
    <w:rsid w:val="00D27E32"/>
    <w:rsid w:val="00D30879"/>
    <w:rsid w:val="00D30DB6"/>
    <w:rsid w:val="00D3108B"/>
    <w:rsid w:val="00D310D4"/>
    <w:rsid w:val="00D31747"/>
    <w:rsid w:val="00D31774"/>
    <w:rsid w:val="00D320CB"/>
    <w:rsid w:val="00D32922"/>
    <w:rsid w:val="00D3293C"/>
    <w:rsid w:val="00D32EEB"/>
    <w:rsid w:val="00D33806"/>
    <w:rsid w:val="00D33863"/>
    <w:rsid w:val="00D33EAA"/>
    <w:rsid w:val="00D34087"/>
    <w:rsid w:val="00D3583D"/>
    <w:rsid w:val="00D37181"/>
    <w:rsid w:val="00D372E6"/>
    <w:rsid w:val="00D37596"/>
    <w:rsid w:val="00D37F70"/>
    <w:rsid w:val="00D4023A"/>
    <w:rsid w:val="00D403B0"/>
    <w:rsid w:val="00D405FB"/>
    <w:rsid w:val="00D40AD4"/>
    <w:rsid w:val="00D40EE8"/>
    <w:rsid w:val="00D41B7A"/>
    <w:rsid w:val="00D42159"/>
    <w:rsid w:val="00D42991"/>
    <w:rsid w:val="00D42EDF"/>
    <w:rsid w:val="00D431D6"/>
    <w:rsid w:val="00D43275"/>
    <w:rsid w:val="00D43B14"/>
    <w:rsid w:val="00D4435C"/>
    <w:rsid w:val="00D44C05"/>
    <w:rsid w:val="00D451E9"/>
    <w:rsid w:val="00D454EA"/>
    <w:rsid w:val="00D45738"/>
    <w:rsid w:val="00D461BA"/>
    <w:rsid w:val="00D4744D"/>
    <w:rsid w:val="00D47872"/>
    <w:rsid w:val="00D47998"/>
    <w:rsid w:val="00D47C14"/>
    <w:rsid w:val="00D47E12"/>
    <w:rsid w:val="00D50839"/>
    <w:rsid w:val="00D509F4"/>
    <w:rsid w:val="00D51403"/>
    <w:rsid w:val="00D51884"/>
    <w:rsid w:val="00D518AE"/>
    <w:rsid w:val="00D525B1"/>
    <w:rsid w:val="00D525BD"/>
    <w:rsid w:val="00D52BAD"/>
    <w:rsid w:val="00D52E53"/>
    <w:rsid w:val="00D52EAE"/>
    <w:rsid w:val="00D5321E"/>
    <w:rsid w:val="00D53311"/>
    <w:rsid w:val="00D53CA2"/>
    <w:rsid w:val="00D53D88"/>
    <w:rsid w:val="00D53F16"/>
    <w:rsid w:val="00D5564C"/>
    <w:rsid w:val="00D55F29"/>
    <w:rsid w:val="00D561B8"/>
    <w:rsid w:val="00D562DB"/>
    <w:rsid w:val="00D56B93"/>
    <w:rsid w:val="00D56D4D"/>
    <w:rsid w:val="00D5710B"/>
    <w:rsid w:val="00D605D5"/>
    <w:rsid w:val="00D606B5"/>
    <w:rsid w:val="00D6074C"/>
    <w:rsid w:val="00D608C8"/>
    <w:rsid w:val="00D60966"/>
    <w:rsid w:val="00D62439"/>
    <w:rsid w:val="00D63475"/>
    <w:rsid w:val="00D63A9F"/>
    <w:rsid w:val="00D63D96"/>
    <w:rsid w:val="00D6420F"/>
    <w:rsid w:val="00D64499"/>
    <w:rsid w:val="00D64842"/>
    <w:rsid w:val="00D64B2E"/>
    <w:rsid w:val="00D65441"/>
    <w:rsid w:val="00D65B26"/>
    <w:rsid w:val="00D65D96"/>
    <w:rsid w:val="00D65D9B"/>
    <w:rsid w:val="00D662D7"/>
    <w:rsid w:val="00D66347"/>
    <w:rsid w:val="00D674EB"/>
    <w:rsid w:val="00D679C9"/>
    <w:rsid w:val="00D67D27"/>
    <w:rsid w:val="00D701B6"/>
    <w:rsid w:val="00D709C0"/>
    <w:rsid w:val="00D70CCF"/>
    <w:rsid w:val="00D712DA"/>
    <w:rsid w:val="00D71C8F"/>
    <w:rsid w:val="00D71E62"/>
    <w:rsid w:val="00D7200E"/>
    <w:rsid w:val="00D728ED"/>
    <w:rsid w:val="00D729ED"/>
    <w:rsid w:val="00D72A1C"/>
    <w:rsid w:val="00D72AA5"/>
    <w:rsid w:val="00D74222"/>
    <w:rsid w:val="00D75224"/>
    <w:rsid w:val="00D75A35"/>
    <w:rsid w:val="00D75A38"/>
    <w:rsid w:val="00D75ED4"/>
    <w:rsid w:val="00D766A7"/>
    <w:rsid w:val="00D76BFB"/>
    <w:rsid w:val="00D76EC5"/>
    <w:rsid w:val="00D77374"/>
    <w:rsid w:val="00D773D2"/>
    <w:rsid w:val="00D7749B"/>
    <w:rsid w:val="00D8150E"/>
    <w:rsid w:val="00D81ED2"/>
    <w:rsid w:val="00D82172"/>
    <w:rsid w:val="00D8284F"/>
    <w:rsid w:val="00D8290A"/>
    <w:rsid w:val="00D82C96"/>
    <w:rsid w:val="00D83091"/>
    <w:rsid w:val="00D83700"/>
    <w:rsid w:val="00D83872"/>
    <w:rsid w:val="00D84515"/>
    <w:rsid w:val="00D84B79"/>
    <w:rsid w:val="00D84F65"/>
    <w:rsid w:val="00D84F8C"/>
    <w:rsid w:val="00D856C6"/>
    <w:rsid w:val="00D85A29"/>
    <w:rsid w:val="00D867F3"/>
    <w:rsid w:val="00D87007"/>
    <w:rsid w:val="00D87155"/>
    <w:rsid w:val="00D8754A"/>
    <w:rsid w:val="00D87CD5"/>
    <w:rsid w:val="00D904AA"/>
    <w:rsid w:val="00D904DC"/>
    <w:rsid w:val="00D91A12"/>
    <w:rsid w:val="00D92067"/>
    <w:rsid w:val="00D920FD"/>
    <w:rsid w:val="00D92188"/>
    <w:rsid w:val="00D9283F"/>
    <w:rsid w:val="00D92962"/>
    <w:rsid w:val="00D92A7F"/>
    <w:rsid w:val="00D93247"/>
    <w:rsid w:val="00D939FA"/>
    <w:rsid w:val="00D94014"/>
    <w:rsid w:val="00D95261"/>
    <w:rsid w:val="00D95353"/>
    <w:rsid w:val="00D956BD"/>
    <w:rsid w:val="00D957EE"/>
    <w:rsid w:val="00D9588D"/>
    <w:rsid w:val="00D95F1C"/>
    <w:rsid w:val="00D96DAB"/>
    <w:rsid w:val="00D96E00"/>
    <w:rsid w:val="00D97532"/>
    <w:rsid w:val="00D97A3A"/>
    <w:rsid w:val="00DA01A3"/>
    <w:rsid w:val="00DA0833"/>
    <w:rsid w:val="00DA1F54"/>
    <w:rsid w:val="00DA2284"/>
    <w:rsid w:val="00DA29A2"/>
    <w:rsid w:val="00DA31BA"/>
    <w:rsid w:val="00DA3A3A"/>
    <w:rsid w:val="00DA3BF5"/>
    <w:rsid w:val="00DA3CF7"/>
    <w:rsid w:val="00DA410A"/>
    <w:rsid w:val="00DA508F"/>
    <w:rsid w:val="00DA5248"/>
    <w:rsid w:val="00DA5488"/>
    <w:rsid w:val="00DA5489"/>
    <w:rsid w:val="00DA5625"/>
    <w:rsid w:val="00DA5AC6"/>
    <w:rsid w:val="00DA5EEF"/>
    <w:rsid w:val="00DA6184"/>
    <w:rsid w:val="00DA6522"/>
    <w:rsid w:val="00DB0D3A"/>
    <w:rsid w:val="00DB0F4B"/>
    <w:rsid w:val="00DB187B"/>
    <w:rsid w:val="00DB190B"/>
    <w:rsid w:val="00DB228F"/>
    <w:rsid w:val="00DB2627"/>
    <w:rsid w:val="00DB2F69"/>
    <w:rsid w:val="00DB398E"/>
    <w:rsid w:val="00DB4385"/>
    <w:rsid w:val="00DB45AD"/>
    <w:rsid w:val="00DB4BE3"/>
    <w:rsid w:val="00DB5D1E"/>
    <w:rsid w:val="00DB6F9F"/>
    <w:rsid w:val="00DB7A95"/>
    <w:rsid w:val="00DB7F0F"/>
    <w:rsid w:val="00DC03CF"/>
    <w:rsid w:val="00DC051C"/>
    <w:rsid w:val="00DC1121"/>
    <w:rsid w:val="00DC12C9"/>
    <w:rsid w:val="00DC1334"/>
    <w:rsid w:val="00DC1560"/>
    <w:rsid w:val="00DC1A03"/>
    <w:rsid w:val="00DC22AF"/>
    <w:rsid w:val="00DC2FF0"/>
    <w:rsid w:val="00DC3601"/>
    <w:rsid w:val="00DC3BA0"/>
    <w:rsid w:val="00DC4D37"/>
    <w:rsid w:val="00DC52C8"/>
    <w:rsid w:val="00DC5896"/>
    <w:rsid w:val="00DC61D9"/>
    <w:rsid w:val="00DC625B"/>
    <w:rsid w:val="00DC6A4F"/>
    <w:rsid w:val="00DD01BB"/>
    <w:rsid w:val="00DD03B1"/>
    <w:rsid w:val="00DD0507"/>
    <w:rsid w:val="00DD0545"/>
    <w:rsid w:val="00DD147F"/>
    <w:rsid w:val="00DD2639"/>
    <w:rsid w:val="00DD2924"/>
    <w:rsid w:val="00DD4085"/>
    <w:rsid w:val="00DD4B7C"/>
    <w:rsid w:val="00DD50A3"/>
    <w:rsid w:val="00DD5C1F"/>
    <w:rsid w:val="00DD5F6B"/>
    <w:rsid w:val="00DD617F"/>
    <w:rsid w:val="00DD6316"/>
    <w:rsid w:val="00DD6785"/>
    <w:rsid w:val="00DD6CCF"/>
    <w:rsid w:val="00DD6CFA"/>
    <w:rsid w:val="00DD6DCF"/>
    <w:rsid w:val="00DD758A"/>
    <w:rsid w:val="00DD773B"/>
    <w:rsid w:val="00DE011B"/>
    <w:rsid w:val="00DE058B"/>
    <w:rsid w:val="00DE1D61"/>
    <w:rsid w:val="00DE2216"/>
    <w:rsid w:val="00DE32E7"/>
    <w:rsid w:val="00DE374C"/>
    <w:rsid w:val="00DE399A"/>
    <w:rsid w:val="00DE442D"/>
    <w:rsid w:val="00DE4615"/>
    <w:rsid w:val="00DE4E5E"/>
    <w:rsid w:val="00DE5183"/>
    <w:rsid w:val="00DE55DD"/>
    <w:rsid w:val="00DE5B1F"/>
    <w:rsid w:val="00DE5B62"/>
    <w:rsid w:val="00DE6031"/>
    <w:rsid w:val="00DE6250"/>
    <w:rsid w:val="00DE720F"/>
    <w:rsid w:val="00DE7DA0"/>
    <w:rsid w:val="00DF04B6"/>
    <w:rsid w:val="00DF14AC"/>
    <w:rsid w:val="00DF178C"/>
    <w:rsid w:val="00DF1B58"/>
    <w:rsid w:val="00DF1BC5"/>
    <w:rsid w:val="00DF3F77"/>
    <w:rsid w:val="00DF4300"/>
    <w:rsid w:val="00DF4470"/>
    <w:rsid w:val="00DF4D1F"/>
    <w:rsid w:val="00DF6CBC"/>
    <w:rsid w:val="00DF6DDF"/>
    <w:rsid w:val="00DF6ED6"/>
    <w:rsid w:val="00DF75EF"/>
    <w:rsid w:val="00DF779A"/>
    <w:rsid w:val="00DF7A43"/>
    <w:rsid w:val="00DF7BF7"/>
    <w:rsid w:val="00E00066"/>
    <w:rsid w:val="00E004DE"/>
    <w:rsid w:val="00E00EBA"/>
    <w:rsid w:val="00E00EF9"/>
    <w:rsid w:val="00E01065"/>
    <w:rsid w:val="00E01EAC"/>
    <w:rsid w:val="00E02E9F"/>
    <w:rsid w:val="00E03370"/>
    <w:rsid w:val="00E03428"/>
    <w:rsid w:val="00E04AD5"/>
    <w:rsid w:val="00E04F1B"/>
    <w:rsid w:val="00E05AE3"/>
    <w:rsid w:val="00E05B57"/>
    <w:rsid w:val="00E0683E"/>
    <w:rsid w:val="00E0774E"/>
    <w:rsid w:val="00E07F57"/>
    <w:rsid w:val="00E10172"/>
    <w:rsid w:val="00E10524"/>
    <w:rsid w:val="00E1096C"/>
    <w:rsid w:val="00E10EA9"/>
    <w:rsid w:val="00E10F81"/>
    <w:rsid w:val="00E10F8C"/>
    <w:rsid w:val="00E11436"/>
    <w:rsid w:val="00E11ABA"/>
    <w:rsid w:val="00E11BAB"/>
    <w:rsid w:val="00E12081"/>
    <w:rsid w:val="00E121DB"/>
    <w:rsid w:val="00E1223B"/>
    <w:rsid w:val="00E12486"/>
    <w:rsid w:val="00E13105"/>
    <w:rsid w:val="00E131B9"/>
    <w:rsid w:val="00E13241"/>
    <w:rsid w:val="00E13281"/>
    <w:rsid w:val="00E13FD2"/>
    <w:rsid w:val="00E1440B"/>
    <w:rsid w:val="00E14970"/>
    <w:rsid w:val="00E149CC"/>
    <w:rsid w:val="00E155F5"/>
    <w:rsid w:val="00E1599E"/>
    <w:rsid w:val="00E16D21"/>
    <w:rsid w:val="00E1788A"/>
    <w:rsid w:val="00E17CEC"/>
    <w:rsid w:val="00E2004A"/>
    <w:rsid w:val="00E202AA"/>
    <w:rsid w:val="00E207A0"/>
    <w:rsid w:val="00E20A3A"/>
    <w:rsid w:val="00E20BD1"/>
    <w:rsid w:val="00E21592"/>
    <w:rsid w:val="00E21977"/>
    <w:rsid w:val="00E21A2E"/>
    <w:rsid w:val="00E21CC3"/>
    <w:rsid w:val="00E221C6"/>
    <w:rsid w:val="00E22332"/>
    <w:rsid w:val="00E225CB"/>
    <w:rsid w:val="00E23B0F"/>
    <w:rsid w:val="00E23C9A"/>
    <w:rsid w:val="00E23DEC"/>
    <w:rsid w:val="00E2412E"/>
    <w:rsid w:val="00E242B4"/>
    <w:rsid w:val="00E242F2"/>
    <w:rsid w:val="00E252F4"/>
    <w:rsid w:val="00E25D48"/>
    <w:rsid w:val="00E261EF"/>
    <w:rsid w:val="00E26A26"/>
    <w:rsid w:val="00E27237"/>
    <w:rsid w:val="00E272A2"/>
    <w:rsid w:val="00E2777A"/>
    <w:rsid w:val="00E27991"/>
    <w:rsid w:val="00E29CD0"/>
    <w:rsid w:val="00E30CF2"/>
    <w:rsid w:val="00E315A5"/>
    <w:rsid w:val="00E31E84"/>
    <w:rsid w:val="00E31E99"/>
    <w:rsid w:val="00E32B11"/>
    <w:rsid w:val="00E32FB9"/>
    <w:rsid w:val="00E334D1"/>
    <w:rsid w:val="00E33C70"/>
    <w:rsid w:val="00E3422F"/>
    <w:rsid w:val="00E34818"/>
    <w:rsid w:val="00E34947"/>
    <w:rsid w:val="00E34AF7"/>
    <w:rsid w:val="00E34F10"/>
    <w:rsid w:val="00E350E4"/>
    <w:rsid w:val="00E36605"/>
    <w:rsid w:val="00E36667"/>
    <w:rsid w:val="00E36B1E"/>
    <w:rsid w:val="00E36BFD"/>
    <w:rsid w:val="00E36C00"/>
    <w:rsid w:val="00E37857"/>
    <w:rsid w:val="00E37D8D"/>
    <w:rsid w:val="00E405A9"/>
    <w:rsid w:val="00E40A77"/>
    <w:rsid w:val="00E41A8C"/>
    <w:rsid w:val="00E42037"/>
    <w:rsid w:val="00E426EA"/>
    <w:rsid w:val="00E4277A"/>
    <w:rsid w:val="00E42B35"/>
    <w:rsid w:val="00E4325D"/>
    <w:rsid w:val="00E43599"/>
    <w:rsid w:val="00E43950"/>
    <w:rsid w:val="00E43C37"/>
    <w:rsid w:val="00E4451E"/>
    <w:rsid w:val="00E44624"/>
    <w:rsid w:val="00E449C1"/>
    <w:rsid w:val="00E44A6E"/>
    <w:rsid w:val="00E44B08"/>
    <w:rsid w:val="00E45D9C"/>
    <w:rsid w:val="00E4603C"/>
    <w:rsid w:val="00E467D4"/>
    <w:rsid w:val="00E46846"/>
    <w:rsid w:val="00E471B3"/>
    <w:rsid w:val="00E47271"/>
    <w:rsid w:val="00E473B5"/>
    <w:rsid w:val="00E50C49"/>
    <w:rsid w:val="00E50FDB"/>
    <w:rsid w:val="00E518CC"/>
    <w:rsid w:val="00E51B70"/>
    <w:rsid w:val="00E52561"/>
    <w:rsid w:val="00E535CE"/>
    <w:rsid w:val="00E53902"/>
    <w:rsid w:val="00E53E57"/>
    <w:rsid w:val="00E54028"/>
    <w:rsid w:val="00E543A8"/>
    <w:rsid w:val="00E544D7"/>
    <w:rsid w:val="00E5451A"/>
    <w:rsid w:val="00E54556"/>
    <w:rsid w:val="00E546C0"/>
    <w:rsid w:val="00E54E8D"/>
    <w:rsid w:val="00E5519D"/>
    <w:rsid w:val="00E55626"/>
    <w:rsid w:val="00E55698"/>
    <w:rsid w:val="00E55B85"/>
    <w:rsid w:val="00E566B4"/>
    <w:rsid w:val="00E576FF"/>
    <w:rsid w:val="00E5798F"/>
    <w:rsid w:val="00E579C4"/>
    <w:rsid w:val="00E607BE"/>
    <w:rsid w:val="00E60B7F"/>
    <w:rsid w:val="00E613CC"/>
    <w:rsid w:val="00E61D02"/>
    <w:rsid w:val="00E6203F"/>
    <w:rsid w:val="00E6252C"/>
    <w:rsid w:val="00E62552"/>
    <w:rsid w:val="00E629BA"/>
    <w:rsid w:val="00E62ADB"/>
    <w:rsid w:val="00E62E08"/>
    <w:rsid w:val="00E63BEF"/>
    <w:rsid w:val="00E64BF3"/>
    <w:rsid w:val="00E64C1D"/>
    <w:rsid w:val="00E65375"/>
    <w:rsid w:val="00E65D62"/>
    <w:rsid w:val="00E6604E"/>
    <w:rsid w:val="00E67FC6"/>
    <w:rsid w:val="00E70A78"/>
    <w:rsid w:val="00E70D6D"/>
    <w:rsid w:val="00E71056"/>
    <w:rsid w:val="00E711ED"/>
    <w:rsid w:val="00E723F9"/>
    <w:rsid w:val="00E7265F"/>
    <w:rsid w:val="00E72CCF"/>
    <w:rsid w:val="00E72D86"/>
    <w:rsid w:val="00E72DEC"/>
    <w:rsid w:val="00E73113"/>
    <w:rsid w:val="00E73B62"/>
    <w:rsid w:val="00E73BE9"/>
    <w:rsid w:val="00E74515"/>
    <w:rsid w:val="00E7479F"/>
    <w:rsid w:val="00E75571"/>
    <w:rsid w:val="00E75D10"/>
    <w:rsid w:val="00E76423"/>
    <w:rsid w:val="00E76862"/>
    <w:rsid w:val="00E76DB3"/>
    <w:rsid w:val="00E779CB"/>
    <w:rsid w:val="00E77D4B"/>
    <w:rsid w:val="00E80714"/>
    <w:rsid w:val="00E80D73"/>
    <w:rsid w:val="00E81CC4"/>
    <w:rsid w:val="00E82615"/>
    <w:rsid w:val="00E82FB1"/>
    <w:rsid w:val="00E82FC5"/>
    <w:rsid w:val="00E8312B"/>
    <w:rsid w:val="00E83280"/>
    <w:rsid w:val="00E83849"/>
    <w:rsid w:val="00E83B5C"/>
    <w:rsid w:val="00E84127"/>
    <w:rsid w:val="00E841B1"/>
    <w:rsid w:val="00E84217"/>
    <w:rsid w:val="00E84234"/>
    <w:rsid w:val="00E84350"/>
    <w:rsid w:val="00E852FA"/>
    <w:rsid w:val="00E858D2"/>
    <w:rsid w:val="00E85E1A"/>
    <w:rsid w:val="00E8604F"/>
    <w:rsid w:val="00E860A8"/>
    <w:rsid w:val="00E87D5E"/>
    <w:rsid w:val="00E902CD"/>
    <w:rsid w:val="00E91680"/>
    <w:rsid w:val="00E91C27"/>
    <w:rsid w:val="00E932B5"/>
    <w:rsid w:val="00E93532"/>
    <w:rsid w:val="00E94164"/>
    <w:rsid w:val="00E950E9"/>
    <w:rsid w:val="00E95D94"/>
    <w:rsid w:val="00E96E05"/>
    <w:rsid w:val="00E96FB7"/>
    <w:rsid w:val="00E9724F"/>
    <w:rsid w:val="00EA2C7F"/>
    <w:rsid w:val="00EA3275"/>
    <w:rsid w:val="00EA32D5"/>
    <w:rsid w:val="00EA34CB"/>
    <w:rsid w:val="00EA36BE"/>
    <w:rsid w:val="00EA3D84"/>
    <w:rsid w:val="00EA4C97"/>
    <w:rsid w:val="00EA4F7A"/>
    <w:rsid w:val="00EA5F1E"/>
    <w:rsid w:val="00EA6044"/>
    <w:rsid w:val="00EA64E7"/>
    <w:rsid w:val="00EA68EB"/>
    <w:rsid w:val="00EA6DC5"/>
    <w:rsid w:val="00EA71C0"/>
    <w:rsid w:val="00EA73C3"/>
    <w:rsid w:val="00EA7E95"/>
    <w:rsid w:val="00EB0614"/>
    <w:rsid w:val="00EB1414"/>
    <w:rsid w:val="00EB142F"/>
    <w:rsid w:val="00EB21A2"/>
    <w:rsid w:val="00EB3217"/>
    <w:rsid w:val="00EB495A"/>
    <w:rsid w:val="00EB49F0"/>
    <w:rsid w:val="00EB5DE6"/>
    <w:rsid w:val="00EC05E3"/>
    <w:rsid w:val="00EC088E"/>
    <w:rsid w:val="00EC13AF"/>
    <w:rsid w:val="00EC2514"/>
    <w:rsid w:val="00EC29E8"/>
    <w:rsid w:val="00EC3076"/>
    <w:rsid w:val="00EC3116"/>
    <w:rsid w:val="00EC37DE"/>
    <w:rsid w:val="00EC37FE"/>
    <w:rsid w:val="00EC433E"/>
    <w:rsid w:val="00EC4614"/>
    <w:rsid w:val="00EC4DF4"/>
    <w:rsid w:val="00EC5573"/>
    <w:rsid w:val="00EC59A4"/>
    <w:rsid w:val="00EC5CD3"/>
    <w:rsid w:val="00EC6DBA"/>
    <w:rsid w:val="00EC740C"/>
    <w:rsid w:val="00EC7C80"/>
    <w:rsid w:val="00ED046D"/>
    <w:rsid w:val="00ED05C4"/>
    <w:rsid w:val="00ED0CC0"/>
    <w:rsid w:val="00ED0DF1"/>
    <w:rsid w:val="00ED136B"/>
    <w:rsid w:val="00ED14AC"/>
    <w:rsid w:val="00ED1599"/>
    <w:rsid w:val="00ED1A66"/>
    <w:rsid w:val="00ED2DDF"/>
    <w:rsid w:val="00ED3A0E"/>
    <w:rsid w:val="00ED3AFC"/>
    <w:rsid w:val="00ED3D1F"/>
    <w:rsid w:val="00ED41A8"/>
    <w:rsid w:val="00ED423C"/>
    <w:rsid w:val="00ED44ED"/>
    <w:rsid w:val="00ED485C"/>
    <w:rsid w:val="00ED4B4F"/>
    <w:rsid w:val="00ED5223"/>
    <w:rsid w:val="00ED52D8"/>
    <w:rsid w:val="00ED5D77"/>
    <w:rsid w:val="00ED6380"/>
    <w:rsid w:val="00ED73C6"/>
    <w:rsid w:val="00ED7C2E"/>
    <w:rsid w:val="00ED7D56"/>
    <w:rsid w:val="00EE0099"/>
    <w:rsid w:val="00EE0179"/>
    <w:rsid w:val="00EE0297"/>
    <w:rsid w:val="00EE0371"/>
    <w:rsid w:val="00EE0851"/>
    <w:rsid w:val="00EE0DF5"/>
    <w:rsid w:val="00EE1335"/>
    <w:rsid w:val="00EE15E3"/>
    <w:rsid w:val="00EE16E3"/>
    <w:rsid w:val="00EE1A2C"/>
    <w:rsid w:val="00EE1B5E"/>
    <w:rsid w:val="00EE1CE2"/>
    <w:rsid w:val="00EE2D96"/>
    <w:rsid w:val="00EE38FE"/>
    <w:rsid w:val="00EE422D"/>
    <w:rsid w:val="00EE432D"/>
    <w:rsid w:val="00EE44AA"/>
    <w:rsid w:val="00EE49C9"/>
    <w:rsid w:val="00EE5717"/>
    <w:rsid w:val="00EE571E"/>
    <w:rsid w:val="00EE577C"/>
    <w:rsid w:val="00EE5C05"/>
    <w:rsid w:val="00EE5E9D"/>
    <w:rsid w:val="00EE671D"/>
    <w:rsid w:val="00EE7E23"/>
    <w:rsid w:val="00EE7F3F"/>
    <w:rsid w:val="00EF004C"/>
    <w:rsid w:val="00EF0D9D"/>
    <w:rsid w:val="00EF0E8F"/>
    <w:rsid w:val="00EF116E"/>
    <w:rsid w:val="00EF11E9"/>
    <w:rsid w:val="00EF1A78"/>
    <w:rsid w:val="00EF21D2"/>
    <w:rsid w:val="00EF240B"/>
    <w:rsid w:val="00EF260B"/>
    <w:rsid w:val="00EF2E75"/>
    <w:rsid w:val="00EF36A9"/>
    <w:rsid w:val="00EF3A1A"/>
    <w:rsid w:val="00EF4430"/>
    <w:rsid w:val="00EF4E03"/>
    <w:rsid w:val="00EF4EBA"/>
    <w:rsid w:val="00EF5AB5"/>
    <w:rsid w:val="00EF5E31"/>
    <w:rsid w:val="00EF5E4D"/>
    <w:rsid w:val="00EF5F7F"/>
    <w:rsid w:val="00EF6936"/>
    <w:rsid w:val="00EF6D2B"/>
    <w:rsid w:val="00EF6F51"/>
    <w:rsid w:val="00EF763E"/>
    <w:rsid w:val="00EF7C48"/>
    <w:rsid w:val="00EF7F4F"/>
    <w:rsid w:val="00F002BB"/>
    <w:rsid w:val="00F00B3E"/>
    <w:rsid w:val="00F011EA"/>
    <w:rsid w:val="00F014F8"/>
    <w:rsid w:val="00F015AC"/>
    <w:rsid w:val="00F02828"/>
    <w:rsid w:val="00F03239"/>
    <w:rsid w:val="00F03409"/>
    <w:rsid w:val="00F03528"/>
    <w:rsid w:val="00F036A3"/>
    <w:rsid w:val="00F041B1"/>
    <w:rsid w:val="00F050FE"/>
    <w:rsid w:val="00F05366"/>
    <w:rsid w:val="00F055D3"/>
    <w:rsid w:val="00F059F8"/>
    <w:rsid w:val="00F05D84"/>
    <w:rsid w:val="00F05DFC"/>
    <w:rsid w:val="00F060D7"/>
    <w:rsid w:val="00F06373"/>
    <w:rsid w:val="00F06A8B"/>
    <w:rsid w:val="00F0706C"/>
    <w:rsid w:val="00F0782A"/>
    <w:rsid w:val="00F106FE"/>
    <w:rsid w:val="00F1076A"/>
    <w:rsid w:val="00F10D25"/>
    <w:rsid w:val="00F10E20"/>
    <w:rsid w:val="00F10FC9"/>
    <w:rsid w:val="00F11602"/>
    <w:rsid w:val="00F11EB0"/>
    <w:rsid w:val="00F12F91"/>
    <w:rsid w:val="00F13022"/>
    <w:rsid w:val="00F13886"/>
    <w:rsid w:val="00F13BDD"/>
    <w:rsid w:val="00F142F1"/>
    <w:rsid w:val="00F14657"/>
    <w:rsid w:val="00F14E06"/>
    <w:rsid w:val="00F14E76"/>
    <w:rsid w:val="00F153C7"/>
    <w:rsid w:val="00F15468"/>
    <w:rsid w:val="00F15953"/>
    <w:rsid w:val="00F15A69"/>
    <w:rsid w:val="00F15C8D"/>
    <w:rsid w:val="00F16225"/>
    <w:rsid w:val="00F17055"/>
    <w:rsid w:val="00F17675"/>
    <w:rsid w:val="00F20117"/>
    <w:rsid w:val="00F2111C"/>
    <w:rsid w:val="00F2131A"/>
    <w:rsid w:val="00F214AA"/>
    <w:rsid w:val="00F21EB1"/>
    <w:rsid w:val="00F23928"/>
    <w:rsid w:val="00F243B4"/>
    <w:rsid w:val="00F245B1"/>
    <w:rsid w:val="00F24C1B"/>
    <w:rsid w:val="00F256B0"/>
    <w:rsid w:val="00F256C6"/>
    <w:rsid w:val="00F258E9"/>
    <w:rsid w:val="00F25B07"/>
    <w:rsid w:val="00F25F1E"/>
    <w:rsid w:val="00F25F4D"/>
    <w:rsid w:val="00F26172"/>
    <w:rsid w:val="00F26423"/>
    <w:rsid w:val="00F26E15"/>
    <w:rsid w:val="00F27441"/>
    <w:rsid w:val="00F2789D"/>
    <w:rsid w:val="00F27C62"/>
    <w:rsid w:val="00F30AA0"/>
    <w:rsid w:val="00F30C8D"/>
    <w:rsid w:val="00F30F26"/>
    <w:rsid w:val="00F31FAB"/>
    <w:rsid w:val="00F32798"/>
    <w:rsid w:val="00F33AE2"/>
    <w:rsid w:val="00F34447"/>
    <w:rsid w:val="00F3461E"/>
    <w:rsid w:val="00F34771"/>
    <w:rsid w:val="00F3579A"/>
    <w:rsid w:val="00F35CAA"/>
    <w:rsid w:val="00F36099"/>
    <w:rsid w:val="00F3658A"/>
    <w:rsid w:val="00F36ADC"/>
    <w:rsid w:val="00F37026"/>
    <w:rsid w:val="00F40C2E"/>
    <w:rsid w:val="00F40E5E"/>
    <w:rsid w:val="00F4193C"/>
    <w:rsid w:val="00F434E6"/>
    <w:rsid w:val="00F4427F"/>
    <w:rsid w:val="00F44333"/>
    <w:rsid w:val="00F4435C"/>
    <w:rsid w:val="00F448CB"/>
    <w:rsid w:val="00F44A95"/>
    <w:rsid w:val="00F46AF4"/>
    <w:rsid w:val="00F46C5C"/>
    <w:rsid w:val="00F46FD8"/>
    <w:rsid w:val="00F507CA"/>
    <w:rsid w:val="00F50BB7"/>
    <w:rsid w:val="00F50DD7"/>
    <w:rsid w:val="00F511B4"/>
    <w:rsid w:val="00F514E4"/>
    <w:rsid w:val="00F5188B"/>
    <w:rsid w:val="00F5276B"/>
    <w:rsid w:val="00F5422E"/>
    <w:rsid w:val="00F551DC"/>
    <w:rsid w:val="00F56E50"/>
    <w:rsid w:val="00F57B18"/>
    <w:rsid w:val="00F608B9"/>
    <w:rsid w:val="00F6168B"/>
    <w:rsid w:val="00F61902"/>
    <w:rsid w:val="00F619BF"/>
    <w:rsid w:val="00F62A0C"/>
    <w:rsid w:val="00F62C38"/>
    <w:rsid w:val="00F635F1"/>
    <w:rsid w:val="00F648EF"/>
    <w:rsid w:val="00F64C54"/>
    <w:rsid w:val="00F66208"/>
    <w:rsid w:val="00F66694"/>
    <w:rsid w:val="00F673AA"/>
    <w:rsid w:val="00F67478"/>
    <w:rsid w:val="00F67F2D"/>
    <w:rsid w:val="00F70911"/>
    <w:rsid w:val="00F70CB8"/>
    <w:rsid w:val="00F7102C"/>
    <w:rsid w:val="00F71A37"/>
    <w:rsid w:val="00F71C70"/>
    <w:rsid w:val="00F7260E"/>
    <w:rsid w:val="00F72722"/>
    <w:rsid w:val="00F7277E"/>
    <w:rsid w:val="00F7283D"/>
    <w:rsid w:val="00F72D44"/>
    <w:rsid w:val="00F7351F"/>
    <w:rsid w:val="00F73703"/>
    <w:rsid w:val="00F73D2C"/>
    <w:rsid w:val="00F74501"/>
    <w:rsid w:val="00F75338"/>
    <w:rsid w:val="00F754A3"/>
    <w:rsid w:val="00F75532"/>
    <w:rsid w:val="00F771D4"/>
    <w:rsid w:val="00F77FA0"/>
    <w:rsid w:val="00F807C5"/>
    <w:rsid w:val="00F8220C"/>
    <w:rsid w:val="00F82CFC"/>
    <w:rsid w:val="00F8377A"/>
    <w:rsid w:val="00F83919"/>
    <w:rsid w:val="00F84384"/>
    <w:rsid w:val="00F8484B"/>
    <w:rsid w:val="00F84E92"/>
    <w:rsid w:val="00F8593E"/>
    <w:rsid w:val="00F859CA"/>
    <w:rsid w:val="00F85FA2"/>
    <w:rsid w:val="00F875AA"/>
    <w:rsid w:val="00F87671"/>
    <w:rsid w:val="00F87D1C"/>
    <w:rsid w:val="00F87FFD"/>
    <w:rsid w:val="00F90334"/>
    <w:rsid w:val="00F903A3"/>
    <w:rsid w:val="00F906E3"/>
    <w:rsid w:val="00F90A5D"/>
    <w:rsid w:val="00F91A91"/>
    <w:rsid w:val="00F92199"/>
    <w:rsid w:val="00F929D8"/>
    <w:rsid w:val="00F92B03"/>
    <w:rsid w:val="00F93D82"/>
    <w:rsid w:val="00F93EA8"/>
    <w:rsid w:val="00F94699"/>
    <w:rsid w:val="00F95681"/>
    <w:rsid w:val="00F963B1"/>
    <w:rsid w:val="00F96510"/>
    <w:rsid w:val="00F96511"/>
    <w:rsid w:val="00F966DE"/>
    <w:rsid w:val="00F96C85"/>
    <w:rsid w:val="00F96E53"/>
    <w:rsid w:val="00F96EDE"/>
    <w:rsid w:val="00F96FD8"/>
    <w:rsid w:val="00F9719F"/>
    <w:rsid w:val="00F97A8B"/>
    <w:rsid w:val="00FA08E5"/>
    <w:rsid w:val="00FA12A2"/>
    <w:rsid w:val="00FA1537"/>
    <w:rsid w:val="00FA24D0"/>
    <w:rsid w:val="00FA36A2"/>
    <w:rsid w:val="00FA4B34"/>
    <w:rsid w:val="00FA4C84"/>
    <w:rsid w:val="00FA51EA"/>
    <w:rsid w:val="00FA5A26"/>
    <w:rsid w:val="00FA5CB0"/>
    <w:rsid w:val="00FA606B"/>
    <w:rsid w:val="00FA6646"/>
    <w:rsid w:val="00FA6919"/>
    <w:rsid w:val="00FA69AB"/>
    <w:rsid w:val="00FA6CEE"/>
    <w:rsid w:val="00FA713A"/>
    <w:rsid w:val="00FA7507"/>
    <w:rsid w:val="00FA76ED"/>
    <w:rsid w:val="00FA7851"/>
    <w:rsid w:val="00FA7980"/>
    <w:rsid w:val="00FA7D06"/>
    <w:rsid w:val="00FA7F38"/>
    <w:rsid w:val="00FB02EE"/>
    <w:rsid w:val="00FB10C6"/>
    <w:rsid w:val="00FB11C7"/>
    <w:rsid w:val="00FB187E"/>
    <w:rsid w:val="00FB21C4"/>
    <w:rsid w:val="00FB2994"/>
    <w:rsid w:val="00FB3146"/>
    <w:rsid w:val="00FB38AE"/>
    <w:rsid w:val="00FB4BFB"/>
    <w:rsid w:val="00FB4FA0"/>
    <w:rsid w:val="00FB54F7"/>
    <w:rsid w:val="00FB5C51"/>
    <w:rsid w:val="00FB693A"/>
    <w:rsid w:val="00FB6A5C"/>
    <w:rsid w:val="00FB6D7D"/>
    <w:rsid w:val="00FB753A"/>
    <w:rsid w:val="00FB7A58"/>
    <w:rsid w:val="00FB7C1B"/>
    <w:rsid w:val="00FC04DF"/>
    <w:rsid w:val="00FC0BBA"/>
    <w:rsid w:val="00FC0E7E"/>
    <w:rsid w:val="00FC162D"/>
    <w:rsid w:val="00FC178B"/>
    <w:rsid w:val="00FC1B96"/>
    <w:rsid w:val="00FC2101"/>
    <w:rsid w:val="00FC309B"/>
    <w:rsid w:val="00FC345E"/>
    <w:rsid w:val="00FC468C"/>
    <w:rsid w:val="00FC53A5"/>
    <w:rsid w:val="00FC6084"/>
    <w:rsid w:val="00FC6C1D"/>
    <w:rsid w:val="00FC714E"/>
    <w:rsid w:val="00FC7852"/>
    <w:rsid w:val="00FD069B"/>
    <w:rsid w:val="00FD14E7"/>
    <w:rsid w:val="00FD1827"/>
    <w:rsid w:val="00FD23E9"/>
    <w:rsid w:val="00FD2439"/>
    <w:rsid w:val="00FD35E4"/>
    <w:rsid w:val="00FD4234"/>
    <w:rsid w:val="00FD5314"/>
    <w:rsid w:val="00FD550A"/>
    <w:rsid w:val="00FD5616"/>
    <w:rsid w:val="00FD5816"/>
    <w:rsid w:val="00FD5B0E"/>
    <w:rsid w:val="00FD5C34"/>
    <w:rsid w:val="00FD5C40"/>
    <w:rsid w:val="00FD65D6"/>
    <w:rsid w:val="00FD75F9"/>
    <w:rsid w:val="00FD7C44"/>
    <w:rsid w:val="00FD7D12"/>
    <w:rsid w:val="00FD7F6F"/>
    <w:rsid w:val="00FE0996"/>
    <w:rsid w:val="00FE0A4A"/>
    <w:rsid w:val="00FE1B59"/>
    <w:rsid w:val="00FE200F"/>
    <w:rsid w:val="00FE215A"/>
    <w:rsid w:val="00FE32F9"/>
    <w:rsid w:val="00FE3463"/>
    <w:rsid w:val="00FE3697"/>
    <w:rsid w:val="00FE39DB"/>
    <w:rsid w:val="00FE4F39"/>
    <w:rsid w:val="00FE502F"/>
    <w:rsid w:val="00FE5FD7"/>
    <w:rsid w:val="00FE757E"/>
    <w:rsid w:val="00FF055E"/>
    <w:rsid w:val="00FF1B0B"/>
    <w:rsid w:val="00FF209A"/>
    <w:rsid w:val="00FF27D5"/>
    <w:rsid w:val="00FF3196"/>
    <w:rsid w:val="00FF354D"/>
    <w:rsid w:val="00FF36DE"/>
    <w:rsid w:val="00FF38C0"/>
    <w:rsid w:val="00FF49B0"/>
    <w:rsid w:val="00FF4F97"/>
    <w:rsid w:val="00FF51B7"/>
    <w:rsid w:val="00FF59E4"/>
    <w:rsid w:val="00FF5C03"/>
    <w:rsid w:val="00FF798E"/>
    <w:rsid w:val="00FF7A94"/>
    <w:rsid w:val="010E7450"/>
    <w:rsid w:val="01685208"/>
    <w:rsid w:val="01770072"/>
    <w:rsid w:val="017DBA52"/>
    <w:rsid w:val="0185EA3E"/>
    <w:rsid w:val="01964883"/>
    <w:rsid w:val="01A243FD"/>
    <w:rsid w:val="01C311E5"/>
    <w:rsid w:val="01C81089"/>
    <w:rsid w:val="01CC7DB5"/>
    <w:rsid w:val="01D35EB5"/>
    <w:rsid w:val="01E09536"/>
    <w:rsid w:val="01E283BF"/>
    <w:rsid w:val="01F8B6A4"/>
    <w:rsid w:val="0218AA2A"/>
    <w:rsid w:val="021B3151"/>
    <w:rsid w:val="023AB6CB"/>
    <w:rsid w:val="023C1D8C"/>
    <w:rsid w:val="0261B418"/>
    <w:rsid w:val="026D2FB1"/>
    <w:rsid w:val="0286424C"/>
    <w:rsid w:val="02BE6BB6"/>
    <w:rsid w:val="02F767BA"/>
    <w:rsid w:val="0315BEC1"/>
    <w:rsid w:val="031D25E2"/>
    <w:rsid w:val="035D8330"/>
    <w:rsid w:val="035F71AB"/>
    <w:rsid w:val="03967A19"/>
    <w:rsid w:val="03CABA8A"/>
    <w:rsid w:val="03CD68E3"/>
    <w:rsid w:val="03E12EC8"/>
    <w:rsid w:val="03F5E457"/>
    <w:rsid w:val="040E3E78"/>
    <w:rsid w:val="045A1F42"/>
    <w:rsid w:val="047C394E"/>
    <w:rsid w:val="052427D4"/>
    <w:rsid w:val="05519B57"/>
    <w:rsid w:val="055D9E14"/>
    <w:rsid w:val="05817600"/>
    <w:rsid w:val="05AE6B2F"/>
    <w:rsid w:val="05BE731E"/>
    <w:rsid w:val="05C5BFFC"/>
    <w:rsid w:val="05D847FA"/>
    <w:rsid w:val="05E97559"/>
    <w:rsid w:val="05ECEB2E"/>
    <w:rsid w:val="06193357"/>
    <w:rsid w:val="061B1BFB"/>
    <w:rsid w:val="06267ED9"/>
    <w:rsid w:val="063573C1"/>
    <w:rsid w:val="06526CB6"/>
    <w:rsid w:val="06FAE4C3"/>
    <w:rsid w:val="072A8664"/>
    <w:rsid w:val="07577FB3"/>
    <w:rsid w:val="076446FD"/>
    <w:rsid w:val="0799F0BB"/>
    <w:rsid w:val="07BEF61F"/>
    <w:rsid w:val="082AC431"/>
    <w:rsid w:val="0848EE6E"/>
    <w:rsid w:val="086D2013"/>
    <w:rsid w:val="08B916C2"/>
    <w:rsid w:val="08F93E51"/>
    <w:rsid w:val="09126062"/>
    <w:rsid w:val="09642710"/>
    <w:rsid w:val="09B3A4CA"/>
    <w:rsid w:val="09C55A4B"/>
    <w:rsid w:val="09E24C51"/>
    <w:rsid w:val="09F172A2"/>
    <w:rsid w:val="0A5B5CE5"/>
    <w:rsid w:val="0A61CD87"/>
    <w:rsid w:val="0A9546AB"/>
    <w:rsid w:val="0AC1ED7C"/>
    <w:rsid w:val="0ACE5EBC"/>
    <w:rsid w:val="0AD15C27"/>
    <w:rsid w:val="0AF6706C"/>
    <w:rsid w:val="0B3739E6"/>
    <w:rsid w:val="0B6E693F"/>
    <w:rsid w:val="0B7E0671"/>
    <w:rsid w:val="0B9112BC"/>
    <w:rsid w:val="0B96479D"/>
    <w:rsid w:val="0BB5D82F"/>
    <w:rsid w:val="0BF32CE5"/>
    <w:rsid w:val="0CCF594A"/>
    <w:rsid w:val="0CD08A6B"/>
    <w:rsid w:val="0CE1B730"/>
    <w:rsid w:val="0D1DAD07"/>
    <w:rsid w:val="0D1F4C37"/>
    <w:rsid w:val="0D426236"/>
    <w:rsid w:val="0D58F739"/>
    <w:rsid w:val="0D8335A6"/>
    <w:rsid w:val="0D83E44C"/>
    <w:rsid w:val="0D8AF05B"/>
    <w:rsid w:val="0D9B8432"/>
    <w:rsid w:val="0DE73C26"/>
    <w:rsid w:val="0DF2BD97"/>
    <w:rsid w:val="0E23CE9E"/>
    <w:rsid w:val="0E28E9C8"/>
    <w:rsid w:val="0E62B196"/>
    <w:rsid w:val="0E727F4F"/>
    <w:rsid w:val="0E744714"/>
    <w:rsid w:val="0EFEBB68"/>
    <w:rsid w:val="0F144C5D"/>
    <w:rsid w:val="0F17F411"/>
    <w:rsid w:val="0F19D9A1"/>
    <w:rsid w:val="0F4C1A65"/>
    <w:rsid w:val="0FB9D3E4"/>
    <w:rsid w:val="10309BC0"/>
    <w:rsid w:val="109DCCD0"/>
    <w:rsid w:val="10E0E5CB"/>
    <w:rsid w:val="10EB32ED"/>
    <w:rsid w:val="10F4009A"/>
    <w:rsid w:val="111ECACB"/>
    <w:rsid w:val="116B2F5E"/>
    <w:rsid w:val="11807B78"/>
    <w:rsid w:val="118612D6"/>
    <w:rsid w:val="121EC402"/>
    <w:rsid w:val="1253E6E5"/>
    <w:rsid w:val="12789FA6"/>
    <w:rsid w:val="12E4E123"/>
    <w:rsid w:val="131C7D95"/>
    <w:rsid w:val="1331F76E"/>
    <w:rsid w:val="133FCBEF"/>
    <w:rsid w:val="1377F355"/>
    <w:rsid w:val="139488CB"/>
    <w:rsid w:val="139DD256"/>
    <w:rsid w:val="13ECAF63"/>
    <w:rsid w:val="14003F7C"/>
    <w:rsid w:val="1400E194"/>
    <w:rsid w:val="1446013F"/>
    <w:rsid w:val="14497D08"/>
    <w:rsid w:val="146BD452"/>
    <w:rsid w:val="146F29A3"/>
    <w:rsid w:val="147296AD"/>
    <w:rsid w:val="14964E71"/>
    <w:rsid w:val="1498FBBF"/>
    <w:rsid w:val="14A2261D"/>
    <w:rsid w:val="14AF831C"/>
    <w:rsid w:val="14B0D69E"/>
    <w:rsid w:val="14CD9881"/>
    <w:rsid w:val="14DA3680"/>
    <w:rsid w:val="150A2D69"/>
    <w:rsid w:val="15342549"/>
    <w:rsid w:val="153CA8A3"/>
    <w:rsid w:val="1545EB90"/>
    <w:rsid w:val="15566F9C"/>
    <w:rsid w:val="157B1D98"/>
    <w:rsid w:val="15994C78"/>
    <w:rsid w:val="15A5825B"/>
    <w:rsid w:val="160D11CE"/>
    <w:rsid w:val="16141EDA"/>
    <w:rsid w:val="163069BF"/>
    <w:rsid w:val="1640D235"/>
    <w:rsid w:val="165FC001"/>
    <w:rsid w:val="167B7EC2"/>
    <w:rsid w:val="16826880"/>
    <w:rsid w:val="16A940C0"/>
    <w:rsid w:val="172F0975"/>
    <w:rsid w:val="176675AA"/>
    <w:rsid w:val="1768184A"/>
    <w:rsid w:val="179A92A1"/>
    <w:rsid w:val="17B08029"/>
    <w:rsid w:val="17C56514"/>
    <w:rsid w:val="17C9BBD2"/>
    <w:rsid w:val="17DCDF59"/>
    <w:rsid w:val="180D8C40"/>
    <w:rsid w:val="1819F977"/>
    <w:rsid w:val="183ACC7A"/>
    <w:rsid w:val="18529DAE"/>
    <w:rsid w:val="18FCC0C7"/>
    <w:rsid w:val="19077C74"/>
    <w:rsid w:val="19331952"/>
    <w:rsid w:val="195D18E6"/>
    <w:rsid w:val="19FC81EA"/>
    <w:rsid w:val="1A0D13DA"/>
    <w:rsid w:val="1A234849"/>
    <w:rsid w:val="1A365574"/>
    <w:rsid w:val="1A367633"/>
    <w:rsid w:val="1A600CFE"/>
    <w:rsid w:val="1AA83F59"/>
    <w:rsid w:val="1AAD909D"/>
    <w:rsid w:val="1AB08950"/>
    <w:rsid w:val="1AB5D4C7"/>
    <w:rsid w:val="1ABEDC08"/>
    <w:rsid w:val="1ACEAB4F"/>
    <w:rsid w:val="1ADA6213"/>
    <w:rsid w:val="1AF4D545"/>
    <w:rsid w:val="1B032784"/>
    <w:rsid w:val="1B063A6B"/>
    <w:rsid w:val="1B0800D3"/>
    <w:rsid w:val="1B0E3AD7"/>
    <w:rsid w:val="1B4F8DA9"/>
    <w:rsid w:val="1B519A39"/>
    <w:rsid w:val="1B5F2087"/>
    <w:rsid w:val="1B7E5288"/>
    <w:rsid w:val="1B98524B"/>
    <w:rsid w:val="1BA2845E"/>
    <w:rsid w:val="1BE7FB6C"/>
    <w:rsid w:val="1C603240"/>
    <w:rsid w:val="1C765B2A"/>
    <w:rsid w:val="1C8DC71C"/>
    <w:rsid w:val="1C8EA2C3"/>
    <w:rsid w:val="1CF242A3"/>
    <w:rsid w:val="1CFD0D02"/>
    <w:rsid w:val="1D017A71"/>
    <w:rsid w:val="1D10F167"/>
    <w:rsid w:val="1D260ED1"/>
    <w:rsid w:val="1D5E203E"/>
    <w:rsid w:val="1D5E477C"/>
    <w:rsid w:val="1D77AE7B"/>
    <w:rsid w:val="1DB978BA"/>
    <w:rsid w:val="1DBBBEAE"/>
    <w:rsid w:val="1DC068D5"/>
    <w:rsid w:val="1DEDB96D"/>
    <w:rsid w:val="1E092E92"/>
    <w:rsid w:val="1E12EFA0"/>
    <w:rsid w:val="1E481FA1"/>
    <w:rsid w:val="1E69BE53"/>
    <w:rsid w:val="1E961E7B"/>
    <w:rsid w:val="1EB344C8"/>
    <w:rsid w:val="1EBAE42E"/>
    <w:rsid w:val="1EC08B16"/>
    <w:rsid w:val="1EC1DF32"/>
    <w:rsid w:val="1ED68FE5"/>
    <w:rsid w:val="1EF4E265"/>
    <w:rsid w:val="1EFAA073"/>
    <w:rsid w:val="1F0909F7"/>
    <w:rsid w:val="1F0B041F"/>
    <w:rsid w:val="1F0F402F"/>
    <w:rsid w:val="1F1CF3B1"/>
    <w:rsid w:val="1F41BF33"/>
    <w:rsid w:val="1F66B93A"/>
    <w:rsid w:val="1F798524"/>
    <w:rsid w:val="1F7E4A10"/>
    <w:rsid w:val="1F88A9CF"/>
    <w:rsid w:val="1F8C7C29"/>
    <w:rsid w:val="1F97D302"/>
    <w:rsid w:val="1FB74701"/>
    <w:rsid w:val="1FDB93A6"/>
    <w:rsid w:val="1FED4FD8"/>
    <w:rsid w:val="202F879D"/>
    <w:rsid w:val="2048EE99"/>
    <w:rsid w:val="20564FE8"/>
    <w:rsid w:val="2059D6F2"/>
    <w:rsid w:val="20A7823B"/>
    <w:rsid w:val="20C9B626"/>
    <w:rsid w:val="20D2A40D"/>
    <w:rsid w:val="21025484"/>
    <w:rsid w:val="213123C7"/>
    <w:rsid w:val="215BB190"/>
    <w:rsid w:val="2163CB41"/>
    <w:rsid w:val="21CB57FE"/>
    <w:rsid w:val="21D91E61"/>
    <w:rsid w:val="224CFE76"/>
    <w:rsid w:val="22599DF9"/>
    <w:rsid w:val="2264E1FB"/>
    <w:rsid w:val="226B36FC"/>
    <w:rsid w:val="226BC36C"/>
    <w:rsid w:val="22CB124B"/>
    <w:rsid w:val="232CB0AB"/>
    <w:rsid w:val="234AF130"/>
    <w:rsid w:val="235D3534"/>
    <w:rsid w:val="23657F0F"/>
    <w:rsid w:val="237E3A89"/>
    <w:rsid w:val="239512C8"/>
    <w:rsid w:val="23E8CED7"/>
    <w:rsid w:val="24159A54"/>
    <w:rsid w:val="24524B94"/>
    <w:rsid w:val="2474E332"/>
    <w:rsid w:val="2483BEB6"/>
    <w:rsid w:val="24A7B913"/>
    <w:rsid w:val="24E6F85E"/>
    <w:rsid w:val="2501CEF9"/>
    <w:rsid w:val="250FE840"/>
    <w:rsid w:val="25539DA6"/>
    <w:rsid w:val="2580868F"/>
    <w:rsid w:val="259E39D6"/>
    <w:rsid w:val="25B46916"/>
    <w:rsid w:val="25C3AA07"/>
    <w:rsid w:val="25EA41EF"/>
    <w:rsid w:val="25EEF0E1"/>
    <w:rsid w:val="25FEFECC"/>
    <w:rsid w:val="26192D17"/>
    <w:rsid w:val="264D9538"/>
    <w:rsid w:val="264F6EFE"/>
    <w:rsid w:val="266165A9"/>
    <w:rsid w:val="26909306"/>
    <w:rsid w:val="26EFC106"/>
    <w:rsid w:val="27018C50"/>
    <w:rsid w:val="270B322F"/>
    <w:rsid w:val="270F4CD8"/>
    <w:rsid w:val="2736124B"/>
    <w:rsid w:val="2738531E"/>
    <w:rsid w:val="274EB501"/>
    <w:rsid w:val="275ADB67"/>
    <w:rsid w:val="27AD617A"/>
    <w:rsid w:val="27D3002F"/>
    <w:rsid w:val="27E3B7DE"/>
    <w:rsid w:val="27FE1B75"/>
    <w:rsid w:val="283C13A5"/>
    <w:rsid w:val="28498DBD"/>
    <w:rsid w:val="28640A0D"/>
    <w:rsid w:val="28E65695"/>
    <w:rsid w:val="2943750A"/>
    <w:rsid w:val="295CEDDC"/>
    <w:rsid w:val="2984EB18"/>
    <w:rsid w:val="2A1E61F8"/>
    <w:rsid w:val="2A242F07"/>
    <w:rsid w:val="2A566DB3"/>
    <w:rsid w:val="2A8517F2"/>
    <w:rsid w:val="2A933E2C"/>
    <w:rsid w:val="2A9D84E7"/>
    <w:rsid w:val="2AB01523"/>
    <w:rsid w:val="2AB3A2DB"/>
    <w:rsid w:val="2ADCF37A"/>
    <w:rsid w:val="2AF355F9"/>
    <w:rsid w:val="2AF7EC3E"/>
    <w:rsid w:val="2B01C0AD"/>
    <w:rsid w:val="2B64273F"/>
    <w:rsid w:val="2B950680"/>
    <w:rsid w:val="2BE7DB6C"/>
    <w:rsid w:val="2C4B92FA"/>
    <w:rsid w:val="2C4C7670"/>
    <w:rsid w:val="2C8CC926"/>
    <w:rsid w:val="2C9607C5"/>
    <w:rsid w:val="2CDEAAE0"/>
    <w:rsid w:val="2CF44332"/>
    <w:rsid w:val="2CFECF9C"/>
    <w:rsid w:val="2D0BF472"/>
    <w:rsid w:val="2D12F9D7"/>
    <w:rsid w:val="2D3DFA13"/>
    <w:rsid w:val="2D654D45"/>
    <w:rsid w:val="2D777205"/>
    <w:rsid w:val="2D7B1571"/>
    <w:rsid w:val="2D7B344D"/>
    <w:rsid w:val="2DC99814"/>
    <w:rsid w:val="2DDFB090"/>
    <w:rsid w:val="2E048D7D"/>
    <w:rsid w:val="2E369C46"/>
    <w:rsid w:val="2E715CCA"/>
    <w:rsid w:val="2E7A7B41"/>
    <w:rsid w:val="2EA6C76C"/>
    <w:rsid w:val="2EB6F26E"/>
    <w:rsid w:val="2EDDE453"/>
    <w:rsid w:val="2EFA9285"/>
    <w:rsid w:val="2F07EA03"/>
    <w:rsid w:val="2F12812B"/>
    <w:rsid w:val="2F29DED6"/>
    <w:rsid w:val="2F656875"/>
    <w:rsid w:val="2FD4ADA9"/>
    <w:rsid w:val="2FD4E7E5"/>
    <w:rsid w:val="2FDF15B5"/>
    <w:rsid w:val="301F6C7B"/>
    <w:rsid w:val="30363C3B"/>
    <w:rsid w:val="3044C963"/>
    <w:rsid w:val="3051C903"/>
    <w:rsid w:val="3071E68D"/>
    <w:rsid w:val="307338DD"/>
    <w:rsid w:val="308C1FCB"/>
    <w:rsid w:val="30B4B844"/>
    <w:rsid w:val="30F864D6"/>
    <w:rsid w:val="311A13BE"/>
    <w:rsid w:val="31465DDA"/>
    <w:rsid w:val="31862154"/>
    <w:rsid w:val="318A65EF"/>
    <w:rsid w:val="319A8ECC"/>
    <w:rsid w:val="31B6631B"/>
    <w:rsid w:val="31C4C34C"/>
    <w:rsid w:val="31DFBCCF"/>
    <w:rsid w:val="321D0EB2"/>
    <w:rsid w:val="32261A10"/>
    <w:rsid w:val="3243A46E"/>
    <w:rsid w:val="324D1E83"/>
    <w:rsid w:val="325E4BA1"/>
    <w:rsid w:val="326959AF"/>
    <w:rsid w:val="326FB069"/>
    <w:rsid w:val="32767A3B"/>
    <w:rsid w:val="329DB89E"/>
    <w:rsid w:val="32AADDB8"/>
    <w:rsid w:val="32C04674"/>
    <w:rsid w:val="32CEDD02"/>
    <w:rsid w:val="32CFB72D"/>
    <w:rsid w:val="32D874A8"/>
    <w:rsid w:val="32E51983"/>
    <w:rsid w:val="32E894C4"/>
    <w:rsid w:val="3325A9C0"/>
    <w:rsid w:val="338969C5"/>
    <w:rsid w:val="339522FE"/>
    <w:rsid w:val="3399F767"/>
    <w:rsid w:val="33BFB6A0"/>
    <w:rsid w:val="33D04E97"/>
    <w:rsid w:val="33F7E791"/>
    <w:rsid w:val="341E2DC7"/>
    <w:rsid w:val="3443E507"/>
    <w:rsid w:val="3446AE19"/>
    <w:rsid w:val="347B0C41"/>
    <w:rsid w:val="34989EA3"/>
    <w:rsid w:val="349BA34B"/>
    <w:rsid w:val="34DF27B4"/>
    <w:rsid w:val="350F152E"/>
    <w:rsid w:val="35233B54"/>
    <w:rsid w:val="355D655E"/>
    <w:rsid w:val="35B20288"/>
    <w:rsid w:val="35C09C8A"/>
    <w:rsid w:val="35D22B4B"/>
    <w:rsid w:val="35F7E736"/>
    <w:rsid w:val="3608573D"/>
    <w:rsid w:val="3617F025"/>
    <w:rsid w:val="362B7A98"/>
    <w:rsid w:val="368E85F5"/>
    <w:rsid w:val="36B9F2B9"/>
    <w:rsid w:val="36D6416D"/>
    <w:rsid w:val="36D9573A"/>
    <w:rsid w:val="36F21921"/>
    <w:rsid w:val="36F8412F"/>
    <w:rsid w:val="372F8853"/>
    <w:rsid w:val="37613305"/>
    <w:rsid w:val="37B825DA"/>
    <w:rsid w:val="38587EB9"/>
    <w:rsid w:val="38796013"/>
    <w:rsid w:val="38A295C7"/>
    <w:rsid w:val="38A86021"/>
    <w:rsid w:val="38B13FB2"/>
    <w:rsid w:val="38BE3851"/>
    <w:rsid w:val="38D6A3FA"/>
    <w:rsid w:val="38E63A4B"/>
    <w:rsid w:val="39462E7C"/>
    <w:rsid w:val="396E308B"/>
    <w:rsid w:val="39AD2664"/>
    <w:rsid w:val="39DEC968"/>
    <w:rsid w:val="39F97B71"/>
    <w:rsid w:val="3A0097D4"/>
    <w:rsid w:val="3AB38D9B"/>
    <w:rsid w:val="3ACA9EBB"/>
    <w:rsid w:val="3AD445F5"/>
    <w:rsid w:val="3AEB547C"/>
    <w:rsid w:val="3B179A8C"/>
    <w:rsid w:val="3B49FFAD"/>
    <w:rsid w:val="3B873064"/>
    <w:rsid w:val="3BB9FBE0"/>
    <w:rsid w:val="3BCA8362"/>
    <w:rsid w:val="3BF72707"/>
    <w:rsid w:val="3BFA7F9A"/>
    <w:rsid w:val="3C1E5B5F"/>
    <w:rsid w:val="3C8C25F3"/>
    <w:rsid w:val="3CB36AED"/>
    <w:rsid w:val="3CD32481"/>
    <w:rsid w:val="3CFC82A1"/>
    <w:rsid w:val="3D0F1385"/>
    <w:rsid w:val="3D2C5A94"/>
    <w:rsid w:val="3D4A3640"/>
    <w:rsid w:val="3D7959A2"/>
    <w:rsid w:val="3E104C3D"/>
    <w:rsid w:val="3E21EE87"/>
    <w:rsid w:val="3E308446"/>
    <w:rsid w:val="3E61393A"/>
    <w:rsid w:val="3E63A02D"/>
    <w:rsid w:val="3E7C4ED9"/>
    <w:rsid w:val="3E9E9F5C"/>
    <w:rsid w:val="3EA447B8"/>
    <w:rsid w:val="3EE606A1"/>
    <w:rsid w:val="3F0984CA"/>
    <w:rsid w:val="3F43F446"/>
    <w:rsid w:val="3F5BA638"/>
    <w:rsid w:val="3F62DE0A"/>
    <w:rsid w:val="3F692AE6"/>
    <w:rsid w:val="3F923676"/>
    <w:rsid w:val="3F980DFE"/>
    <w:rsid w:val="3FB7B88D"/>
    <w:rsid w:val="4023012B"/>
    <w:rsid w:val="40585ABD"/>
    <w:rsid w:val="405CCFA7"/>
    <w:rsid w:val="40792DE0"/>
    <w:rsid w:val="40B09867"/>
    <w:rsid w:val="4148235D"/>
    <w:rsid w:val="415FF74A"/>
    <w:rsid w:val="41E06B29"/>
    <w:rsid w:val="41F4E776"/>
    <w:rsid w:val="420884BF"/>
    <w:rsid w:val="42428A78"/>
    <w:rsid w:val="4287B1D8"/>
    <w:rsid w:val="42891B3C"/>
    <w:rsid w:val="42A891DB"/>
    <w:rsid w:val="42D4174A"/>
    <w:rsid w:val="42FB9BD1"/>
    <w:rsid w:val="432CB799"/>
    <w:rsid w:val="43381324"/>
    <w:rsid w:val="435BB56A"/>
    <w:rsid w:val="437F0913"/>
    <w:rsid w:val="438DDCCC"/>
    <w:rsid w:val="439B9C18"/>
    <w:rsid w:val="43B977C4"/>
    <w:rsid w:val="43D90BA4"/>
    <w:rsid w:val="43E9229D"/>
    <w:rsid w:val="43EA8522"/>
    <w:rsid w:val="4417E612"/>
    <w:rsid w:val="442D1C72"/>
    <w:rsid w:val="4438E4BD"/>
    <w:rsid w:val="44746F10"/>
    <w:rsid w:val="44879029"/>
    <w:rsid w:val="44C9EF4A"/>
    <w:rsid w:val="4514DAEE"/>
    <w:rsid w:val="4550E297"/>
    <w:rsid w:val="45B98C5E"/>
    <w:rsid w:val="4613D80F"/>
    <w:rsid w:val="462033D5"/>
    <w:rsid w:val="46248F14"/>
    <w:rsid w:val="462F8D2D"/>
    <w:rsid w:val="4633A9CD"/>
    <w:rsid w:val="46456DD4"/>
    <w:rsid w:val="46AFC78D"/>
    <w:rsid w:val="46DA443A"/>
    <w:rsid w:val="46ED82E2"/>
    <w:rsid w:val="46F34995"/>
    <w:rsid w:val="46F5F04C"/>
    <w:rsid w:val="470A8D5D"/>
    <w:rsid w:val="470D9945"/>
    <w:rsid w:val="47202DA6"/>
    <w:rsid w:val="474A1B1E"/>
    <w:rsid w:val="47636F94"/>
    <w:rsid w:val="4784B37B"/>
    <w:rsid w:val="478BE3D8"/>
    <w:rsid w:val="47AE985A"/>
    <w:rsid w:val="47B59883"/>
    <w:rsid w:val="47C9EE91"/>
    <w:rsid w:val="47CB835A"/>
    <w:rsid w:val="47DE6243"/>
    <w:rsid w:val="47E13E35"/>
    <w:rsid w:val="48793227"/>
    <w:rsid w:val="487F568B"/>
    <w:rsid w:val="48994D00"/>
    <w:rsid w:val="48BAF8AD"/>
    <w:rsid w:val="48F331B4"/>
    <w:rsid w:val="4901BE8F"/>
    <w:rsid w:val="494336F3"/>
    <w:rsid w:val="49572F95"/>
    <w:rsid w:val="49640930"/>
    <w:rsid w:val="496FCFCE"/>
    <w:rsid w:val="4990B985"/>
    <w:rsid w:val="49C1100B"/>
    <w:rsid w:val="49D16261"/>
    <w:rsid w:val="4A28B948"/>
    <w:rsid w:val="4AA9AA10"/>
    <w:rsid w:val="4AC3EDD5"/>
    <w:rsid w:val="4ADF2751"/>
    <w:rsid w:val="4B084D07"/>
    <w:rsid w:val="4B2959B8"/>
    <w:rsid w:val="4B35ABDC"/>
    <w:rsid w:val="4B39DD9D"/>
    <w:rsid w:val="4B7B39B0"/>
    <w:rsid w:val="4B8E3DB4"/>
    <w:rsid w:val="4BA8CA31"/>
    <w:rsid w:val="4BF6F60E"/>
    <w:rsid w:val="4BFA98D7"/>
    <w:rsid w:val="4C1DDCC1"/>
    <w:rsid w:val="4CA399BD"/>
    <w:rsid w:val="4CD17C3D"/>
    <w:rsid w:val="4CF5A120"/>
    <w:rsid w:val="4D0AAA80"/>
    <w:rsid w:val="4D18AB0B"/>
    <w:rsid w:val="4D82AFF0"/>
    <w:rsid w:val="4D8CCFF1"/>
    <w:rsid w:val="4D92F73E"/>
    <w:rsid w:val="4DA084C5"/>
    <w:rsid w:val="4DC9726C"/>
    <w:rsid w:val="4DDBD0D1"/>
    <w:rsid w:val="4DF09068"/>
    <w:rsid w:val="4E290573"/>
    <w:rsid w:val="4E5D062D"/>
    <w:rsid w:val="4E65A44E"/>
    <w:rsid w:val="4E6D455A"/>
    <w:rsid w:val="4E6EAB52"/>
    <w:rsid w:val="4E8FA60F"/>
    <w:rsid w:val="4E91FE93"/>
    <w:rsid w:val="4EC6A20F"/>
    <w:rsid w:val="4EE50B24"/>
    <w:rsid w:val="4F40E4BA"/>
    <w:rsid w:val="4F8324B5"/>
    <w:rsid w:val="500174AF"/>
    <w:rsid w:val="5072CCE5"/>
    <w:rsid w:val="5077E3E0"/>
    <w:rsid w:val="50C79397"/>
    <w:rsid w:val="50CBFFE3"/>
    <w:rsid w:val="50D2A819"/>
    <w:rsid w:val="510E2F30"/>
    <w:rsid w:val="511C4593"/>
    <w:rsid w:val="5146D6CE"/>
    <w:rsid w:val="5178A750"/>
    <w:rsid w:val="51850ABC"/>
    <w:rsid w:val="518BC503"/>
    <w:rsid w:val="519F9DB0"/>
    <w:rsid w:val="51CC4773"/>
    <w:rsid w:val="51E2C112"/>
    <w:rsid w:val="51F8670D"/>
    <w:rsid w:val="524D4004"/>
    <w:rsid w:val="5254719F"/>
    <w:rsid w:val="525DD51B"/>
    <w:rsid w:val="52766600"/>
    <w:rsid w:val="52779427"/>
    <w:rsid w:val="52884899"/>
    <w:rsid w:val="52E2DF55"/>
    <w:rsid w:val="53278E20"/>
    <w:rsid w:val="53391571"/>
    <w:rsid w:val="535726EB"/>
    <w:rsid w:val="53589B7E"/>
    <w:rsid w:val="53C393EA"/>
    <w:rsid w:val="53C95383"/>
    <w:rsid w:val="53D0286E"/>
    <w:rsid w:val="53EC39DC"/>
    <w:rsid w:val="53F625EE"/>
    <w:rsid w:val="53FF3459"/>
    <w:rsid w:val="54B99270"/>
    <w:rsid w:val="54C35E81"/>
    <w:rsid w:val="54D5EB68"/>
    <w:rsid w:val="55735975"/>
    <w:rsid w:val="558E0EBE"/>
    <w:rsid w:val="55AE06C2"/>
    <w:rsid w:val="55D68E59"/>
    <w:rsid w:val="55E6FE23"/>
    <w:rsid w:val="566DC3D8"/>
    <w:rsid w:val="5693E090"/>
    <w:rsid w:val="56AC50A7"/>
    <w:rsid w:val="56DA1872"/>
    <w:rsid w:val="57002166"/>
    <w:rsid w:val="570F258D"/>
    <w:rsid w:val="57206576"/>
    <w:rsid w:val="5749D723"/>
    <w:rsid w:val="575B869A"/>
    <w:rsid w:val="57A4FAD0"/>
    <w:rsid w:val="57DB23E3"/>
    <w:rsid w:val="57E2A1F8"/>
    <w:rsid w:val="57F43C6A"/>
    <w:rsid w:val="587D84BE"/>
    <w:rsid w:val="58949378"/>
    <w:rsid w:val="58A26F5D"/>
    <w:rsid w:val="58AF8DBE"/>
    <w:rsid w:val="58D2A57C"/>
    <w:rsid w:val="58D3D5C7"/>
    <w:rsid w:val="58F143D4"/>
    <w:rsid w:val="593CBBCF"/>
    <w:rsid w:val="593D3675"/>
    <w:rsid w:val="5945C589"/>
    <w:rsid w:val="59FBAD54"/>
    <w:rsid w:val="5A3B6473"/>
    <w:rsid w:val="5A555F8E"/>
    <w:rsid w:val="5ACE5250"/>
    <w:rsid w:val="5AE66516"/>
    <w:rsid w:val="5B4A2938"/>
    <w:rsid w:val="5BAD129D"/>
    <w:rsid w:val="5C01E6F4"/>
    <w:rsid w:val="5C75C0F8"/>
    <w:rsid w:val="5CBED5E1"/>
    <w:rsid w:val="5CCE7066"/>
    <w:rsid w:val="5D016680"/>
    <w:rsid w:val="5D094428"/>
    <w:rsid w:val="5D418056"/>
    <w:rsid w:val="5D454994"/>
    <w:rsid w:val="5D4D866E"/>
    <w:rsid w:val="5D5AE506"/>
    <w:rsid w:val="5E30E7EC"/>
    <w:rsid w:val="5E3E01FB"/>
    <w:rsid w:val="5E706465"/>
    <w:rsid w:val="5E88B150"/>
    <w:rsid w:val="5ED6F503"/>
    <w:rsid w:val="5EE4B35F"/>
    <w:rsid w:val="5F055D3F"/>
    <w:rsid w:val="5F54E908"/>
    <w:rsid w:val="5F5A6676"/>
    <w:rsid w:val="5F83BD1F"/>
    <w:rsid w:val="5FA87E15"/>
    <w:rsid w:val="5FE1F877"/>
    <w:rsid w:val="5FF5BD7E"/>
    <w:rsid w:val="6009D6D5"/>
    <w:rsid w:val="600C4BDE"/>
    <w:rsid w:val="600E68AE"/>
    <w:rsid w:val="6049050F"/>
    <w:rsid w:val="605D2A87"/>
    <w:rsid w:val="60645432"/>
    <w:rsid w:val="60928D86"/>
    <w:rsid w:val="609EECD5"/>
    <w:rsid w:val="60A336D7"/>
    <w:rsid w:val="60A54B1A"/>
    <w:rsid w:val="60EA0304"/>
    <w:rsid w:val="60F9DB5F"/>
    <w:rsid w:val="611303BC"/>
    <w:rsid w:val="61385D18"/>
    <w:rsid w:val="6181F0A9"/>
    <w:rsid w:val="61B7B6AC"/>
    <w:rsid w:val="61C5F6F1"/>
    <w:rsid w:val="61CD1186"/>
    <w:rsid w:val="620D1928"/>
    <w:rsid w:val="621C5421"/>
    <w:rsid w:val="6222978C"/>
    <w:rsid w:val="6230A19E"/>
    <w:rsid w:val="62443106"/>
    <w:rsid w:val="62463B91"/>
    <w:rsid w:val="6263BEA9"/>
    <w:rsid w:val="62653F47"/>
    <w:rsid w:val="626B16FD"/>
    <w:rsid w:val="628CB03F"/>
    <w:rsid w:val="628CF797"/>
    <w:rsid w:val="6296E47F"/>
    <w:rsid w:val="62E79E89"/>
    <w:rsid w:val="63380D14"/>
    <w:rsid w:val="63543466"/>
    <w:rsid w:val="6371636A"/>
    <w:rsid w:val="63CD1D39"/>
    <w:rsid w:val="642DD799"/>
    <w:rsid w:val="64303B0B"/>
    <w:rsid w:val="6432E1C2"/>
    <w:rsid w:val="644645FA"/>
    <w:rsid w:val="644BEFE8"/>
    <w:rsid w:val="648CAF19"/>
    <w:rsid w:val="64B691CB"/>
    <w:rsid w:val="64D3DD75"/>
    <w:rsid w:val="651FC63D"/>
    <w:rsid w:val="653ACC86"/>
    <w:rsid w:val="6545C101"/>
    <w:rsid w:val="65EFF855"/>
    <w:rsid w:val="65F025B2"/>
    <w:rsid w:val="65F1FA7E"/>
    <w:rsid w:val="6613FBBE"/>
    <w:rsid w:val="666CDFBC"/>
    <w:rsid w:val="66EE4997"/>
    <w:rsid w:val="66F85E26"/>
    <w:rsid w:val="67221ADF"/>
    <w:rsid w:val="6740F1D6"/>
    <w:rsid w:val="679A2043"/>
    <w:rsid w:val="67BCF962"/>
    <w:rsid w:val="67C71C8F"/>
    <w:rsid w:val="67F496C7"/>
    <w:rsid w:val="680C1E43"/>
    <w:rsid w:val="680CF048"/>
    <w:rsid w:val="6827937B"/>
    <w:rsid w:val="68A24C33"/>
    <w:rsid w:val="68AB0933"/>
    <w:rsid w:val="68E50AA0"/>
    <w:rsid w:val="6923509C"/>
    <w:rsid w:val="693534A8"/>
    <w:rsid w:val="694216C1"/>
    <w:rsid w:val="69876D6A"/>
    <w:rsid w:val="69B06A14"/>
    <w:rsid w:val="69BEB3B6"/>
    <w:rsid w:val="69C375EA"/>
    <w:rsid w:val="6A4C9A77"/>
    <w:rsid w:val="6A504B5C"/>
    <w:rsid w:val="6A5C67FD"/>
    <w:rsid w:val="6AC6E1F6"/>
    <w:rsid w:val="6ACCA5CB"/>
    <w:rsid w:val="6B006779"/>
    <w:rsid w:val="6B0933A0"/>
    <w:rsid w:val="6B0E0CB3"/>
    <w:rsid w:val="6B2B34E0"/>
    <w:rsid w:val="6B39C847"/>
    <w:rsid w:val="6B50B155"/>
    <w:rsid w:val="6B5E986F"/>
    <w:rsid w:val="6B5F343D"/>
    <w:rsid w:val="6B7A4CC9"/>
    <w:rsid w:val="6B7F77E6"/>
    <w:rsid w:val="6BCE506E"/>
    <w:rsid w:val="6BF75429"/>
    <w:rsid w:val="6C296EA5"/>
    <w:rsid w:val="6C2DBA14"/>
    <w:rsid w:val="6C3E03B2"/>
    <w:rsid w:val="6C5FC782"/>
    <w:rsid w:val="6C6A14E5"/>
    <w:rsid w:val="6C81300D"/>
    <w:rsid w:val="6C91E350"/>
    <w:rsid w:val="6CADF3DB"/>
    <w:rsid w:val="6CBE030A"/>
    <w:rsid w:val="6CC5C6FD"/>
    <w:rsid w:val="6CC6C480"/>
    <w:rsid w:val="6CE4E0AA"/>
    <w:rsid w:val="6D138C24"/>
    <w:rsid w:val="6D5F8939"/>
    <w:rsid w:val="6DBA2EB1"/>
    <w:rsid w:val="6DCE1832"/>
    <w:rsid w:val="6DD4FD24"/>
    <w:rsid w:val="6E099296"/>
    <w:rsid w:val="6E1E4AFA"/>
    <w:rsid w:val="6E4BBC56"/>
    <w:rsid w:val="6EB5E03A"/>
    <w:rsid w:val="6EE29F8E"/>
    <w:rsid w:val="6F06F78D"/>
    <w:rsid w:val="6F0B8A9E"/>
    <w:rsid w:val="6F16FF70"/>
    <w:rsid w:val="6F2F1FAC"/>
    <w:rsid w:val="6F420137"/>
    <w:rsid w:val="6F633D5E"/>
    <w:rsid w:val="6F84F0B2"/>
    <w:rsid w:val="6F8EBE3A"/>
    <w:rsid w:val="6FD9AD6D"/>
    <w:rsid w:val="7036BE15"/>
    <w:rsid w:val="7051B09B"/>
    <w:rsid w:val="7069F5A8"/>
    <w:rsid w:val="70822968"/>
    <w:rsid w:val="70B4EB09"/>
    <w:rsid w:val="7105DA98"/>
    <w:rsid w:val="710B1AE8"/>
    <w:rsid w:val="71219F86"/>
    <w:rsid w:val="71266853"/>
    <w:rsid w:val="713A01D3"/>
    <w:rsid w:val="71712F33"/>
    <w:rsid w:val="719320F9"/>
    <w:rsid w:val="71BD27ED"/>
    <w:rsid w:val="71D0D02D"/>
    <w:rsid w:val="71EDC0D1"/>
    <w:rsid w:val="720688C0"/>
    <w:rsid w:val="7237B8A3"/>
    <w:rsid w:val="724DDC94"/>
    <w:rsid w:val="72A6023C"/>
    <w:rsid w:val="72BDF948"/>
    <w:rsid w:val="72C18EDD"/>
    <w:rsid w:val="72EEA14E"/>
    <w:rsid w:val="7333CB82"/>
    <w:rsid w:val="733D54C2"/>
    <w:rsid w:val="7343DAE0"/>
    <w:rsid w:val="73636EDC"/>
    <w:rsid w:val="736E1747"/>
    <w:rsid w:val="739A7883"/>
    <w:rsid w:val="73B015E8"/>
    <w:rsid w:val="73B3D8D5"/>
    <w:rsid w:val="73B86235"/>
    <w:rsid w:val="73E0991A"/>
    <w:rsid w:val="73EAF4C5"/>
    <w:rsid w:val="73FCF288"/>
    <w:rsid w:val="7418F973"/>
    <w:rsid w:val="741C925F"/>
    <w:rsid w:val="741F4FDD"/>
    <w:rsid w:val="7421E05D"/>
    <w:rsid w:val="74340A99"/>
    <w:rsid w:val="74456986"/>
    <w:rsid w:val="74C74BF7"/>
    <w:rsid w:val="75037219"/>
    <w:rsid w:val="752684DF"/>
    <w:rsid w:val="752D9EB6"/>
    <w:rsid w:val="753240E8"/>
    <w:rsid w:val="75733C1F"/>
    <w:rsid w:val="7582DA62"/>
    <w:rsid w:val="75881012"/>
    <w:rsid w:val="75992262"/>
    <w:rsid w:val="75D6DD63"/>
    <w:rsid w:val="7614D21A"/>
    <w:rsid w:val="765196CF"/>
    <w:rsid w:val="765C49E6"/>
    <w:rsid w:val="76631C58"/>
    <w:rsid w:val="767FE7EB"/>
    <w:rsid w:val="768F53F1"/>
    <w:rsid w:val="7690BE1B"/>
    <w:rsid w:val="76CE1149"/>
    <w:rsid w:val="7724A11A"/>
    <w:rsid w:val="7728CDB5"/>
    <w:rsid w:val="774E4997"/>
    <w:rsid w:val="775D8833"/>
    <w:rsid w:val="776440D5"/>
    <w:rsid w:val="776A614E"/>
    <w:rsid w:val="77EB9B39"/>
    <w:rsid w:val="787C5CBA"/>
    <w:rsid w:val="78907E98"/>
    <w:rsid w:val="7893E841"/>
    <w:rsid w:val="78A7F6A1"/>
    <w:rsid w:val="78C0C4F6"/>
    <w:rsid w:val="78EEA489"/>
    <w:rsid w:val="797ED804"/>
    <w:rsid w:val="79A7373A"/>
    <w:rsid w:val="79D98E21"/>
    <w:rsid w:val="79EC89AE"/>
    <w:rsid w:val="7A789D40"/>
    <w:rsid w:val="7A811950"/>
    <w:rsid w:val="7AA625C6"/>
    <w:rsid w:val="7AABCDCF"/>
    <w:rsid w:val="7AB13E2B"/>
    <w:rsid w:val="7B1124A6"/>
    <w:rsid w:val="7B29EABF"/>
    <w:rsid w:val="7B3AF77A"/>
    <w:rsid w:val="7B53D060"/>
    <w:rsid w:val="7B85F9C6"/>
    <w:rsid w:val="7B917C05"/>
    <w:rsid w:val="7BADA567"/>
    <w:rsid w:val="7BB38883"/>
    <w:rsid w:val="7BE970C6"/>
    <w:rsid w:val="7C0C5EBD"/>
    <w:rsid w:val="7C19625D"/>
    <w:rsid w:val="7C36986A"/>
    <w:rsid w:val="7C47E2CA"/>
    <w:rsid w:val="7C6AB51E"/>
    <w:rsid w:val="7C6AE67F"/>
    <w:rsid w:val="7D010656"/>
    <w:rsid w:val="7D06E6A7"/>
    <w:rsid w:val="7D2FD5A1"/>
    <w:rsid w:val="7D50C236"/>
    <w:rsid w:val="7D7C5F25"/>
    <w:rsid w:val="7D9F9BB5"/>
    <w:rsid w:val="7DD42564"/>
    <w:rsid w:val="7E0FFFDD"/>
    <w:rsid w:val="7E1F93B7"/>
    <w:rsid w:val="7E513770"/>
    <w:rsid w:val="7EBF2CDD"/>
    <w:rsid w:val="7EC5783F"/>
    <w:rsid w:val="7EE3908E"/>
    <w:rsid w:val="7F182F86"/>
    <w:rsid w:val="7F222CF3"/>
    <w:rsid w:val="7F2FA775"/>
    <w:rsid w:val="7F3DBFA2"/>
    <w:rsid w:val="7F459986"/>
    <w:rsid w:val="7F9907E7"/>
    <w:rsid w:val="7FABD03E"/>
    <w:rsid w:val="7FB6E9D5"/>
    <w:rsid w:val="7FD50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E742"/>
  <w15:docId w15:val="{715B90C3-C790-4649-A1AE-579C011A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3CF"/>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Heading1">
    <w:name w:val="heading 1"/>
    <w:basedOn w:val="Title"/>
    <w:next w:val="Standard"/>
    <w:link w:val="Heading1Char"/>
    <w:uiPriority w:val="9"/>
    <w:qFormat/>
    <w:rsid w:val="00515379"/>
    <w:pPr>
      <w:spacing w:line="480" w:lineRule="auto"/>
      <w:outlineLvl w:val="0"/>
    </w:pPr>
  </w:style>
  <w:style w:type="paragraph" w:styleId="Heading2">
    <w:name w:val="heading 2"/>
    <w:basedOn w:val="Standard"/>
    <w:next w:val="Standard"/>
    <w:link w:val="Heading2Char"/>
    <w:uiPriority w:val="9"/>
    <w:unhideWhenUsed/>
    <w:qFormat/>
    <w:rsid w:val="00515379"/>
    <w:pPr>
      <w:keepNext/>
      <w:keepLines/>
      <w:spacing w:line="480" w:lineRule="auto"/>
      <w:outlineLvl w:val="1"/>
    </w:pPr>
    <w:rPr>
      <w:rFonts w:ascii="Times New Roman" w:eastAsia="Liberation Serif" w:hAnsi="Times New Roman" w:cs="Liberation Serif"/>
      <w:b/>
      <w:iCs/>
      <w:color w:val="000000"/>
      <w:sz w:val="24"/>
      <w:szCs w:val="26"/>
    </w:rPr>
  </w:style>
  <w:style w:type="paragraph" w:styleId="Heading3">
    <w:name w:val="heading 3"/>
    <w:basedOn w:val="Heading"/>
    <w:next w:val="Textbody"/>
    <w:link w:val="Heading3Char"/>
    <w:uiPriority w:val="9"/>
    <w:unhideWhenUsed/>
    <w:qFormat/>
    <w:rsid w:val="00DC03CF"/>
    <w:pPr>
      <w:spacing w:before="140"/>
      <w:outlineLvl w:val="2"/>
    </w:pPr>
    <w:rPr>
      <w:rFonts w:ascii="Liberation Serif" w:eastAsia="Liberation Serif" w:hAnsi="Liberation Serif" w:cs="Liberation Serif"/>
      <w:b/>
      <w:bCs/>
      <w:i/>
    </w:rPr>
  </w:style>
  <w:style w:type="paragraph" w:styleId="Heading4">
    <w:name w:val="heading 4"/>
    <w:basedOn w:val="Normal"/>
    <w:next w:val="Normal"/>
    <w:link w:val="Heading4Char"/>
    <w:uiPriority w:val="9"/>
    <w:unhideWhenUsed/>
    <w:qFormat/>
    <w:rsid w:val="00E950E9"/>
    <w:pPr>
      <w:keepNext/>
      <w:keepLines/>
      <w:spacing w:before="40"/>
      <w:outlineLvl w:val="3"/>
    </w:pPr>
    <w:rPr>
      <w:rFonts w:asciiTheme="majorHAnsi" w:eastAsiaTheme="majorEastAsia" w:hAnsiTheme="majorHAnsi"/>
      <w:i/>
      <w:iCs/>
      <w:color w:val="2F5496" w:themeColor="accent1" w:themeShade="BF"/>
      <w:szCs w:val="21"/>
    </w:rPr>
  </w:style>
  <w:style w:type="paragraph" w:styleId="Heading6">
    <w:name w:val="heading 6"/>
    <w:basedOn w:val="Heading"/>
    <w:next w:val="Textbody"/>
    <w:link w:val="Heading6Char"/>
    <w:uiPriority w:val="9"/>
    <w:semiHidden/>
    <w:unhideWhenUsed/>
    <w:qFormat/>
    <w:rsid w:val="00DC03CF"/>
    <w:pPr>
      <w:spacing w:before="86" w:after="0"/>
      <w:outlineLvl w:val="5"/>
    </w:pPr>
    <w:rPr>
      <w:b/>
      <w:bCs/>
      <w:i/>
      <w:iCs/>
    </w:rPr>
  </w:style>
  <w:style w:type="paragraph" w:styleId="Heading7">
    <w:name w:val="heading 7"/>
    <w:basedOn w:val="Normal"/>
    <w:next w:val="Normal"/>
    <w:link w:val="Heading7Char"/>
    <w:uiPriority w:val="9"/>
    <w:semiHidden/>
    <w:unhideWhenUsed/>
    <w:qFormat/>
    <w:rsid w:val="007F1727"/>
    <w:pPr>
      <w:keepNext/>
      <w:keepLines/>
      <w:spacing w:before="40"/>
      <w:outlineLvl w:val="6"/>
    </w:pPr>
    <w:rPr>
      <w:rFonts w:asciiTheme="majorHAnsi" w:eastAsiaTheme="majorEastAsia" w:hAnsiTheme="majorHAnsi"/>
      <w:i/>
      <w:iCs/>
      <w:color w:val="1F3763" w:themeColor="accent1" w:themeShade="7F"/>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379"/>
    <w:rPr>
      <w:rFonts w:ascii="Times New Roman" w:eastAsia="Cambria" w:hAnsi="Times New Roman" w:cs="Liberation Sans"/>
      <w:b/>
      <w:kern w:val="3"/>
      <w:sz w:val="24"/>
      <w:szCs w:val="24"/>
      <w:lang w:val="en-IN" w:eastAsia="zh-CN" w:bidi="hi-IN"/>
    </w:rPr>
  </w:style>
  <w:style w:type="character" w:customStyle="1" w:styleId="Heading2Char">
    <w:name w:val="Heading 2 Char"/>
    <w:basedOn w:val="DefaultParagraphFont"/>
    <w:link w:val="Heading2"/>
    <w:uiPriority w:val="9"/>
    <w:rsid w:val="00515379"/>
    <w:rPr>
      <w:rFonts w:ascii="Times New Roman" w:eastAsia="Liberation Serif" w:hAnsi="Times New Roman" w:cs="Liberation Serif"/>
      <w:b/>
      <w:iCs/>
      <w:color w:val="000000"/>
      <w:kern w:val="3"/>
      <w:sz w:val="24"/>
      <w:szCs w:val="26"/>
      <w:lang w:val="en-IN" w:eastAsia="zh-CN" w:bidi="hi-IN"/>
    </w:rPr>
  </w:style>
  <w:style w:type="character" w:customStyle="1" w:styleId="Heading3Char">
    <w:name w:val="Heading 3 Char"/>
    <w:basedOn w:val="DefaultParagraphFont"/>
    <w:link w:val="Heading3"/>
    <w:uiPriority w:val="9"/>
    <w:rsid w:val="00DC03CF"/>
    <w:rPr>
      <w:rFonts w:ascii="Liberation Serif" w:eastAsia="Liberation Serif" w:hAnsi="Liberation Serif" w:cs="Liberation Serif"/>
      <w:b/>
      <w:bCs/>
      <w:i/>
      <w:kern w:val="3"/>
      <w:sz w:val="28"/>
      <w:szCs w:val="28"/>
      <w:lang w:val="en-IN" w:eastAsia="zh-CN" w:bidi="hi-IN"/>
    </w:rPr>
  </w:style>
  <w:style w:type="character" w:customStyle="1" w:styleId="Heading6Char">
    <w:name w:val="Heading 6 Char"/>
    <w:basedOn w:val="DefaultParagraphFont"/>
    <w:link w:val="Heading6"/>
    <w:uiPriority w:val="9"/>
    <w:semiHidden/>
    <w:rsid w:val="00DC03CF"/>
    <w:rPr>
      <w:rFonts w:ascii="Liberation Sans" w:eastAsia="Microsoft YaHei" w:hAnsi="Liberation Sans" w:cs="Mangal"/>
      <w:b/>
      <w:bCs/>
      <w:i/>
      <w:iCs/>
      <w:kern w:val="3"/>
      <w:sz w:val="28"/>
      <w:szCs w:val="28"/>
      <w:lang w:val="en-IN" w:eastAsia="zh-CN" w:bidi="hi-IN"/>
    </w:rPr>
  </w:style>
  <w:style w:type="paragraph" w:customStyle="1" w:styleId="Standard">
    <w:name w:val="Standard"/>
    <w:rsid w:val="00DC03CF"/>
    <w:pPr>
      <w:suppressAutoHyphens/>
      <w:autoSpaceDN w:val="0"/>
      <w:spacing w:after="0" w:line="240" w:lineRule="auto"/>
      <w:textAlignment w:val="baseline"/>
    </w:pPr>
    <w:rPr>
      <w:rFonts w:ascii="Liberation Serif" w:eastAsia="NSimSun" w:hAnsi="Liberation Serif" w:cs="Mangal"/>
      <w:kern w:val="3"/>
      <w:sz w:val="28"/>
      <w:szCs w:val="24"/>
      <w:lang w:val="en-IN" w:eastAsia="zh-CN" w:bidi="hi-IN"/>
    </w:rPr>
  </w:style>
  <w:style w:type="paragraph" w:customStyle="1" w:styleId="Heading">
    <w:name w:val="Heading"/>
    <w:basedOn w:val="Standard"/>
    <w:next w:val="Textbody"/>
    <w:rsid w:val="00DC03CF"/>
    <w:pPr>
      <w:keepNext/>
      <w:spacing w:before="240" w:after="120"/>
    </w:pPr>
    <w:rPr>
      <w:rFonts w:ascii="Liberation Sans" w:eastAsia="Microsoft YaHei" w:hAnsi="Liberation Sans"/>
      <w:szCs w:val="28"/>
    </w:rPr>
  </w:style>
  <w:style w:type="paragraph" w:customStyle="1" w:styleId="Textbody">
    <w:name w:val="Text body"/>
    <w:basedOn w:val="Standard"/>
    <w:rsid w:val="00DC03CF"/>
    <w:pPr>
      <w:spacing w:after="140" w:line="276" w:lineRule="auto"/>
    </w:pPr>
  </w:style>
  <w:style w:type="paragraph" w:styleId="List">
    <w:name w:val="List"/>
    <w:basedOn w:val="Textbody"/>
    <w:rsid w:val="00DC03CF"/>
    <w:rPr>
      <w:sz w:val="24"/>
    </w:rPr>
  </w:style>
  <w:style w:type="paragraph" w:styleId="Caption">
    <w:name w:val="caption"/>
    <w:basedOn w:val="Standard"/>
    <w:uiPriority w:val="35"/>
    <w:qFormat/>
    <w:rsid w:val="008F7199"/>
    <w:pPr>
      <w:suppressLineNumbers/>
      <w:spacing w:before="120" w:after="120"/>
      <w:jc w:val="both"/>
    </w:pPr>
    <w:rPr>
      <w:i/>
      <w:iCs/>
      <w:sz w:val="24"/>
    </w:rPr>
  </w:style>
  <w:style w:type="paragraph" w:customStyle="1" w:styleId="Index">
    <w:name w:val="Index"/>
    <w:basedOn w:val="Body"/>
    <w:rsid w:val="00DC03CF"/>
    <w:pPr>
      <w:suppressLineNumbers/>
    </w:pPr>
  </w:style>
  <w:style w:type="paragraph" w:styleId="Title">
    <w:name w:val="Title"/>
    <w:basedOn w:val="Standard"/>
    <w:next w:val="Standard"/>
    <w:link w:val="TitleChar"/>
    <w:uiPriority w:val="10"/>
    <w:qFormat/>
    <w:rsid w:val="0066750D"/>
    <w:pPr>
      <w:jc w:val="center"/>
    </w:pPr>
    <w:rPr>
      <w:rFonts w:ascii="Times New Roman" w:eastAsia="Cambria" w:hAnsi="Times New Roman" w:cs="Liberation Sans"/>
      <w:b/>
      <w:sz w:val="24"/>
    </w:rPr>
  </w:style>
  <w:style w:type="character" w:customStyle="1" w:styleId="TitleChar">
    <w:name w:val="Title Char"/>
    <w:basedOn w:val="DefaultParagraphFont"/>
    <w:link w:val="Title"/>
    <w:uiPriority w:val="10"/>
    <w:rsid w:val="0066750D"/>
    <w:rPr>
      <w:rFonts w:ascii="Times New Roman" w:eastAsia="Cambria" w:hAnsi="Times New Roman" w:cs="Liberation Sans"/>
      <w:b/>
      <w:kern w:val="3"/>
      <w:sz w:val="24"/>
      <w:szCs w:val="24"/>
      <w:lang w:val="en-IN" w:eastAsia="zh-CN" w:bidi="hi-IN"/>
    </w:rPr>
  </w:style>
  <w:style w:type="paragraph" w:customStyle="1" w:styleId="HeaderandFooter">
    <w:name w:val="Header and Footer"/>
    <w:basedOn w:val="Standard"/>
    <w:rsid w:val="00DC03CF"/>
    <w:pPr>
      <w:suppressLineNumbers/>
      <w:tabs>
        <w:tab w:val="center" w:pos="4986"/>
        <w:tab w:val="right" w:pos="9972"/>
      </w:tabs>
    </w:pPr>
  </w:style>
  <w:style w:type="paragraph" w:styleId="Header">
    <w:name w:val="header"/>
    <w:basedOn w:val="Standard"/>
    <w:link w:val="HeaderChar"/>
    <w:rsid w:val="00DC03CF"/>
    <w:pPr>
      <w:tabs>
        <w:tab w:val="center" w:pos="4680"/>
        <w:tab w:val="right" w:pos="9360"/>
      </w:tabs>
    </w:pPr>
  </w:style>
  <w:style w:type="character" w:customStyle="1" w:styleId="HeaderChar">
    <w:name w:val="Header Char"/>
    <w:basedOn w:val="DefaultParagraphFont"/>
    <w:link w:val="Header"/>
    <w:rsid w:val="00DC03CF"/>
    <w:rPr>
      <w:rFonts w:ascii="Liberation Serif" w:eastAsia="NSimSun" w:hAnsi="Liberation Serif" w:cs="Mangal"/>
      <w:kern w:val="3"/>
      <w:sz w:val="28"/>
      <w:szCs w:val="24"/>
      <w:lang w:val="en-IN" w:eastAsia="zh-CN" w:bidi="hi-IN"/>
    </w:rPr>
  </w:style>
  <w:style w:type="paragraph" w:styleId="Footer">
    <w:name w:val="footer"/>
    <w:basedOn w:val="Standard"/>
    <w:link w:val="FooterChar"/>
    <w:rsid w:val="00DC03CF"/>
    <w:pPr>
      <w:tabs>
        <w:tab w:val="center" w:pos="4680"/>
        <w:tab w:val="right" w:pos="9360"/>
      </w:tabs>
    </w:pPr>
  </w:style>
  <w:style w:type="character" w:customStyle="1" w:styleId="FooterChar">
    <w:name w:val="Footer Char"/>
    <w:basedOn w:val="DefaultParagraphFont"/>
    <w:link w:val="Footer"/>
    <w:rsid w:val="00DC03CF"/>
    <w:rPr>
      <w:rFonts w:ascii="Liberation Serif" w:eastAsia="NSimSun" w:hAnsi="Liberation Serif" w:cs="Mangal"/>
      <w:kern w:val="3"/>
      <w:sz w:val="28"/>
      <w:szCs w:val="24"/>
      <w:lang w:val="en-IN" w:eastAsia="zh-CN" w:bidi="hi-IN"/>
    </w:rPr>
  </w:style>
  <w:style w:type="paragraph" w:customStyle="1" w:styleId="Body">
    <w:name w:val="Body"/>
    <w:basedOn w:val="Standard"/>
    <w:qFormat/>
    <w:rsid w:val="00CA3EB0"/>
    <w:pPr>
      <w:spacing w:line="480" w:lineRule="auto"/>
      <w:ind w:firstLine="454"/>
      <w:jc w:val="both"/>
    </w:pPr>
    <w:rPr>
      <w:rFonts w:ascii="Times New Roman" w:eastAsia="Liberation Serif" w:hAnsi="Times New Roman" w:cs="Liberation Serif"/>
      <w:sz w:val="24"/>
    </w:rPr>
  </w:style>
  <w:style w:type="paragraph" w:customStyle="1" w:styleId="Authors">
    <w:name w:val="Authors"/>
    <w:basedOn w:val="Body"/>
    <w:rsid w:val="00DC03CF"/>
    <w:pPr>
      <w:ind w:firstLine="0"/>
      <w:jc w:val="center"/>
    </w:pPr>
    <w:rPr>
      <w:sz w:val="26"/>
    </w:rPr>
  </w:style>
  <w:style w:type="paragraph" w:customStyle="1" w:styleId="Figure">
    <w:name w:val="Figure"/>
    <w:basedOn w:val="Caption"/>
    <w:rsid w:val="00534CC3"/>
    <w:pPr>
      <w:spacing w:before="0" w:after="0"/>
      <w:jc w:val="center"/>
    </w:pPr>
  </w:style>
  <w:style w:type="paragraph" w:customStyle="1" w:styleId="Caption-Figure">
    <w:name w:val="Caption-Figure"/>
    <w:basedOn w:val="Caption"/>
    <w:rsid w:val="00245929"/>
    <w:pPr>
      <w:spacing w:before="0" w:after="240"/>
    </w:pPr>
    <w:rPr>
      <w:rFonts w:ascii="Times New Roman" w:eastAsia="Liberation Serif" w:hAnsi="Times New Roman" w:cs="Liberation Serif"/>
      <w:lang w:val="en-US"/>
    </w:rPr>
  </w:style>
  <w:style w:type="paragraph" w:customStyle="1" w:styleId="EquationsLabel">
    <w:name w:val="Equations_Label"/>
    <w:basedOn w:val="Textbody"/>
    <w:rsid w:val="00DC03CF"/>
    <w:pPr>
      <w:snapToGrid w:val="0"/>
      <w:spacing w:after="283" w:line="240" w:lineRule="auto"/>
      <w:jc w:val="center"/>
      <w:textAlignment w:val="center"/>
    </w:pPr>
    <w:rPr>
      <w:rFonts w:eastAsia="Liberation Serif" w:cs="Liberation Serif"/>
      <w:color w:val="000000"/>
      <w:sz w:val="24"/>
    </w:rPr>
  </w:style>
  <w:style w:type="paragraph" w:customStyle="1" w:styleId="Caption-Table">
    <w:name w:val="Caption-Table"/>
    <w:basedOn w:val="Caption"/>
    <w:rsid w:val="00DC03CF"/>
    <w:pPr>
      <w:spacing w:before="0" w:after="0"/>
    </w:pPr>
  </w:style>
  <w:style w:type="paragraph" w:customStyle="1" w:styleId="TableContents">
    <w:name w:val="Table Contents"/>
    <w:basedOn w:val="Standard"/>
    <w:rsid w:val="00DC03CF"/>
    <w:pPr>
      <w:suppressLineNumbers/>
    </w:pPr>
    <w:rPr>
      <w:sz w:val="24"/>
    </w:rPr>
  </w:style>
  <w:style w:type="paragraph" w:customStyle="1" w:styleId="TableHeading">
    <w:name w:val="Table Heading"/>
    <w:basedOn w:val="TableContents"/>
    <w:rsid w:val="00DC03CF"/>
    <w:pPr>
      <w:jc w:val="center"/>
    </w:pPr>
    <w:rPr>
      <w:b/>
      <w:bCs/>
    </w:rPr>
  </w:style>
  <w:style w:type="paragraph" w:customStyle="1" w:styleId="Bibliography1">
    <w:name w:val="Bibliography 1"/>
    <w:basedOn w:val="Index"/>
    <w:rsid w:val="00DC03CF"/>
    <w:pPr>
      <w:spacing w:after="240" w:line="240" w:lineRule="atLeast"/>
      <w:ind w:left="720" w:hanging="720"/>
    </w:pPr>
    <w:rPr>
      <w:rFonts w:ascii="Calibri" w:eastAsia="Calibri" w:hAnsi="Calibri" w:cs="Calibri"/>
      <w:sz w:val="22"/>
    </w:rPr>
  </w:style>
  <w:style w:type="paragraph" w:customStyle="1" w:styleId="Framecontents">
    <w:name w:val="Frame contents"/>
    <w:basedOn w:val="Standard"/>
    <w:rsid w:val="00DC03CF"/>
  </w:style>
  <w:style w:type="paragraph" w:customStyle="1" w:styleId="Tableindex1">
    <w:name w:val="Table index 1"/>
    <w:basedOn w:val="Index"/>
    <w:rsid w:val="00DC03CF"/>
    <w:pPr>
      <w:tabs>
        <w:tab w:val="right" w:leader="dot" w:pos="8958"/>
      </w:tabs>
    </w:pPr>
  </w:style>
  <w:style w:type="paragraph" w:customStyle="1" w:styleId="Tableindexheading">
    <w:name w:val="Table index heading"/>
    <w:basedOn w:val="Heading"/>
    <w:rsid w:val="00DC03CF"/>
    <w:pPr>
      <w:suppressLineNumbers/>
    </w:pPr>
    <w:rPr>
      <w:b/>
      <w:bCs/>
      <w:sz w:val="32"/>
      <w:szCs w:val="32"/>
    </w:rPr>
  </w:style>
  <w:style w:type="paragraph" w:customStyle="1" w:styleId="FigureIndexHeading">
    <w:name w:val="Figure Index Heading"/>
    <w:basedOn w:val="Heading"/>
    <w:rsid w:val="00DC03CF"/>
    <w:pPr>
      <w:suppressLineNumbers/>
    </w:pPr>
    <w:rPr>
      <w:b/>
      <w:bCs/>
      <w:sz w:val="32"/>
      <w:szCs w:val="32"/>
    </w:rPr>
  </w:style>
  <w:style w:type="paragraph" w:customStyle="1" w:styleId="FigureIndex1">
    <w:name w:val="Figure Index 1"/>
    <w:basedOn w:val="Index"/>
    <w:rsid w:val="00BB2CF7"/>
    <w:pPr>
      <w:tabs>
        <w:tab w:val="right" w:leader="dot" w:pos="9292"/>
      </w:tabs>
      <w:spacing w:after="283"/>
    </w:pPr>
  </w:style>
  <w:style w:type="paragraph" w:customStyle="1" w:styleId="Contents1">
    <w:name w:val="Contents 1"/>
    <w:basedOn w:val="Index"/>
    <w:rsid w:val="00EA71C0"/>
    <w:pPr>
      <w:tabs>
        <w:tab w:val="right" w:leader="dot" w:pos="8958"/>
      </w:tabs>
    </w:pPr>
  </w:style>
  <w:style w:type="paragraph" w:customStyle="1" w:styleId="Contents2">
    <w:name w:val="Contents 2"/>
    <w:basedOn w:val="Index"/>
    <w:rsid w:val="00DC03CF"/>
    <w:pPr>
      <w:tabs>
        <w:tab w:val="right" w:leader="dot" w:pos="8958"/>
      </w:tabs>
      <w:ind w:left="283"/>
    </w:pPr>
    <w:rPr>
      <w:sz w:val="28"/>
    </w:rPr>
  </w:style>
  <w:style w:type="paragraph" w:customStyle="1" w:styleId="Contents3">
    <w:name w:val="Contents 3"/>
    <w:basedOn w:val="Index"/>
    <w:rsid w:val="00DC03CF"/>
    <w:pPr>
      <w:tabs>
        <w:tab w:val="right" w:leader="dot" w:pos="8959"/>
      </w:tabs>
      <w:ind w:left="567"/>
    </w:pPr>
    <w:rPr>
      <w:sz w:val="28"/>
    </w:rPr>
  </w:style>
  <w:style w:type="paragraph" w:customStyle="1" w:styleId="ContentsHeading">
    <w:name w:val="Contents Heading"/>
    <w:basedOn w:val="Heading"/>
    <w:rsid w:val="00DC03CF"/>
    <w:pPr>
      <w:suppressLineNumbers/>
    </w:pPr>
    <w:rPr>
      <w:b/>
      <w:bCs/>
      <w:sz w:val="32"/>
      <w:szCs w:val="32"/>
    </w:rPr>
  </w:style>
  <w:style w:type="paragraph" w:customStyle="1" w:styleId="Body-TableHeading">
    <w:name w:val="Body - Table Heading"/>
    <w:basedOn w:val="Body-Table"/>
    <w:qFormat/>
    <w:rsid w:val="00B820A9"/>
    <w:pPr>
      <w:tabs>
        <w:tab w:val="right" w:leader="dot" w:pos="9292"/>
      </w:tabs>
    </w:pPr>
    <w:rPr>
      <w:b/>
    </w:rPr>
  </w:style>
  <w:style w:type="paragraph" w:customStyle="1" w:styleId="Caption-Equation2">
    <w:name w:val="Caption-Equation2"/>
    <w:basedOn w:val="Caption"/>
    <w:autoRedefine/>
    <w:qFormat/>
    <w:rsid w:val="0016387A"/>
    <w:pPr>
      <w:spacing w:before="240" w:after="0"/>
      <w:jc w:val="right"/>
    </w:pPr>
    <w:rPr>
      <w:rFonts w:ascii="Times New Roman" w:hAnsi="Times New Roman" w:cs="Times New Roman"/>
      <w:i w:val="0"/>
      <w:iCs w:val="0"/>
    </w:rPr>
  </w:style>
  <w:style w:type="paragraph" w:customStyle="1" w:styleId="Contents8">
    <w:name w:val="Contents 8"/>
    <w:basedOn w:val="Index"/>
    <w:rsid w:val="00DC03CF"/>
    <w:pPr>
      <w:tabs>
        <w:tab w:val="right" w:leader="dot" w:pos="9292"/>
      </w:tabs>
      <w:ind w:left="1981"/>
    </w:pPr>
  </w:style>
  <w:style w:type="paragraph" w:customStyle="1" w:styleId="Illustration">
    <w:name w:val="Illustration"/>
    <w:basedOn w:val="Caption"/>
    <w:rsid w:val="00DC03CF"/>
  </w:style>
  <w:style w:type="paragraph" w:customStyle="1" w:styleId="Body-Table">
    <w:name w:val="Body - Table"/>
    <w:basedOn w:val="Body"/>
    <w:qFormat/>
    <w:rsid w:val="00F13BDD"/>
    <w:pPr>
      <w:spacing w:line="240" w:lineRule="auto"/>
      <w:ind w:firstLine="0"/>
      <w:jc w:val="left"/>
    </w:pPr>
    <w:rPr>
      <w:lang w:val="en-US" w:eastAsia="en-US" w:bidi="ar-SA"/>
    </w:rPr>
  </w:style>
  <w:style w:type="character" w:customStyle="1" w:styleId="Linenumbering">
    <w:name w:val="Line numbering"/>
    <w:rsid w:val="00DC03CF"/>
  </w:style>
  <w:style w:type="character" w:customStyle="1" w:styleId="NumberingSymbols">
    <w:name w:val="Numbering Symbols"/>
    <w:rsid w:val="00DC03CF"/>
  </w:style>
  <w:style w:type="character" w:customStyle="1" w:styleId="Internetlink">
    <w:name w:val="Internet link"/>
    <w:rsid w:val="00DC03CF"/>
    <w:rPr>
      <w:color w:val="000080"/>
      <w:u w:val="single"/>
    </w:rPr>
  </w:style>
  <w:style w:type="character" w:customStyle="1" w:styleId="IndexLink">
    <w:name w:val="Index Link"/>
    <w:rsid w:val="00DC03CF"/>
  </w:style>
  <w:style w:type="paragraph" w:styleId="Subtitle">
    <w:name w:val="Subtitle"/>
    <w:basedOn w:val="Normal"/>
    <w:next w:val="Normal"/>
    <w:link w:val="SubtitleChar"/>
    <w:uiPriority w:val="11"/>
    <w:qFormat/>
    <w:rsid w:val="00CA492D"/>
    <w:pPr>
      <w:numPr>
        <w:ilvl w:val="1"/>
      </w:numPr>
      <w:spacing w:after="160"/>
    </w:pPr>
    <w:rPr>
      <w:rFonts w:asciiTheme="minorHAnsi" w:eastAsiaTheme="minorEastAsia" w:hAnsiTheme="minorHAnsi"/>
      <w:color w:val="5A5A5A" w:themeColor="text1" w:themeTint="A5"/>
      <w:spacing w:val="15"/>
      <w:sz w:val="22"/>
      <w:szCs w:val="20"/>
    </w:rPr>
  </w:style>
  <w:style w:type="character" w:customStyle="1" w:styleId="SubtitleChar">
    <w:name w:val="Subtitle Char"/>
    <w:basedOn w:val="DefaultParagraphFont"/>
    <w:link w:val="Subtitle"/>
    <w:uiPriority w:val="11"/>
    <w:rsid w:val="00CA492D"/>
    <w:rPr>
      <w:rFonts w:eastAsiaTheme="minorEastAsia" w:cs="Mangal"/>
      <w:color w:val="5A5A5A" w:themeColor="text1" w:themeTint="A5"/>
      <w:spacing w:val="15"/>
      <w:kern w:val="3"/>
      <w:szCs w:val="20"/>
      <w:lang w:val="en-IN" w:eastAsia="zh-CN" w:bidi="hi-IN"/>
    </w:rPr>
  </w:style>
  <w:style w:type="paragraph" w:styleId="TOC1">
    <w:name w:val="toc 1"/>
    <w:aliases w:val="Caption-Equation"/>
    <w:basedOn w:val="Normal"/>
    <w:next w:val="Normal"/>
    <w:uiPriority w:val="39"/>
    <w:unhideWhenUsed/>
    <w:qFormat/>
    <w:rsid w:val="00B95FCE"/>
    <w:pPr>
      <w:spacing w:after="100"/>
    </w:pPr>
    <w:rPr>
      <w:rFonts w:ascii="Times New Roman" w:hAnsi="Times New Roman"/>
      <w:szCs w:val="21"/>
    </w:rPr>
  </w:style>
  <w:style w:type="paragraph" w:styleId="TOC2">
    <w:name w:val="toc 2"/>
    <w:basedOn w:val="Normal"/>
    <w:next w:val="Normal"/>
    <w:autoRedefine/>
    <w:uiPriority w:val="39"/>
    <w:unhideWhenUsed/>
    <w:rsid w:val="00B86CAB"/>
    <w:pPr>
      <w:spacing w:after="100"/>
      <w:ind w:left="240"/>
    </w:pPr>
    <w:rPr>
      <w:szCs w:val="21"/>
    </w:rPr>
  </w:style>
  <w:style w:type="character" w:styleId="Hyperlink">
    <w:name w:val="Hyperlink"/>
    <w:basedOn w:val="DefaultParagraphFont"/>
    <w:uiPriority w:val="99"/>
    <w:unhideWhenUsed/>
    <w:rsid w:val="00B86CAB"/>
    <w:rPr>
      <w:color w:val="0563C1" w:themeColor="hyperlink"/>
      <w:u w:val="single"/>
    </w:rPr>
  </w:style>
  <w:style w:type="paragraph" w:styleId="TableofFigures">
    <w:name w:val="table of figures"/>
    <w:basedOn w:val="Normal"/>
    <w:next w:val="Normal"/>
    <w:uiPriority w:val="99"/>
    <w:unhideWhenUsed/>
    <w:qFormat/>
    <w:rsid w:val="00216324"/>
    <w:pPr>
      <w:tabs>
        <w:tab w:val="right" w:leader="dot" w:pos="9282"/>
      </w:tabs>
      <w:ind w:left="346" w:hanging="346"/>
      <w:jc w:val="both"/>
    </w:pPr>
    <w:rPr>
      <w:rFonts w:eastAsia="Liberation Serif" w:cs="Liberation Serif"/>
      <w:noProof/>
      <w:szCs w:val="21"/>
      <w:lang w:val="en-IN"/>
    </w:rPr>
  </w:style>
  <w:style w:type="character" w:customStyle="1" w:styleId="Heading7Char">
    <w:name w:val="Heading 7 Char"/>
    <w:basedOn w:val="DefaultParagraphFont"/>
    <w:link w:val="Heading7"/>
    <w:uiPriority w:val="9"/>
    <w:semiHidden/>
    <w:rsid w:val="007F1727"/>
    <w:rPr>
      <w:rFonts w:asciiTheme="majorHAnsi" w:eastAsiaTheme="majorEastAsia" w:hAnsiTheme="majorHAnsi" w:cs="Mangal"/>
      <w:i/>
      <w:iCs/>
      <w:color w:val="1F3763" w:themeColor="accent1" w:themeShade="7F"/>
      <w:kern w:val="3"/>
      <w:sz w:val="24"/>
      <w:szCs w:val="21"/>
      <w:lang w:val="en-IN" w:eastAsia="zh-CN" w:bidi="hi-IN"/>
    </w:rPr>
  </w:style>
  <w:style w:type="character" w:styleId="LineNumber">
    <w:name w:val="line number"/>
    <w:basedOn w:val="DefaultParagraphFont"/>
    <w:uiPriority w:val="99"/>
    <w:semiHidden/>
    <w:unhideWhenUsed/>
    <w:rsid w:val="00205F08"/>
  </w:style>
  <w:style w:type="character" w:styleId="CommentReference">
    <w:name w:val="annotation reference"/>
    <w:basedOn w:val="DefaultParagraphFont"/>
    <w:uiPriority w:val="99"/>
    <w:semiHidden/>
    <w:unhideWhenUsed/>
    <w:rsid w:val="006D3D21"/>
    <w:rPr>
      <w:sz w:val="16"/>
      <w:szCs w:val="16"/>
    </w:rPr>
  </w:style>
  <w:style w:type="paragraph" w:styleId="CommentText">
    <w:name w:val="annotation text"/>
    <w:basedOn w:val="Normal"/>
    <w:link w:val="CommentTextChar"/>
    <w:uiPriority w:val="99"/>
    <w:unhideWhenUsed/>
    <w:rsid w:val="006D3D21"/>
    <w:rPr>
      <w:sz w:val="20"/>
      <w:szCs w:val="18"/>
    </w:rPr>
  </w:style>
  <w:style w:type="character" w:customStyle="1" w:styleId="CommentTextChar">
    <w:name w:val="Comment Text Char"/>
    <w:basedOn w:val="DefaultParagraphFont"/>
    <w:link w:val="CommentText"/>
    <w:uiPriority w:val="99"/>
    <w:rsid w:val="006D3D21"/>
    <w:rPr>
      <w:rFonts w:ascii="Liberation Serif" w:eastAsia="NSimSun" w:hAnsi="Liberation Serif" w:cs="Mangal"/>
      <w:kern w:val="3"/>
      <w:sz w:val="20"/>
      <w:szCs w:val="18"/>
      <w:lang w:val="en-IN" w:eastAsia="zh-CN" w:bidi="hi-IN"/>
    </w:rPr>
  </w:style>
  <w:style w:type="paragraph" w:styleId="CommentSubject">
    <w:name w:val="annotation subject"/>
    <w:basedOn w:val="CommentText"/>
    <w:next w:val="CommentText"/>
    <w:link w:val="CommentSubjectChar"/>
    <w:uiPriority w:val="99"/>
    <w:semiHidden/>
    <w:unhideWhenUsed/>
    <w:rsid w:val="006D3D21"/>
    <w:rPr>
      <w:b/>
      <w:bCs/>
    </w:rPr>
  </w:style>
  <w:style w:type="character" w:customStyle="1" w:styleId="CommentSubjectChar">
    <w:name w:val="Comment Subject Char"/>
    <w:basedOn w:val="CommentTextChar"/>
    <w:link w:val="CommentSubject"/>
    <w:uiPriority w:val="99"/>
    <w:semiHidden/>
    <w:rsid w:val="006D3D21"/>
    <w:rPr>
      <w:rFonts w:ascii="Liberation Serif" w:eastAsia="NSimSun" w:hAnsi="Liberation Serif" w:cs="Mangal"/>
      <w:b/>
      <w:bCs/>
      <w:kern w:val="3"/>
      <w:sz w:val="20"/>
      <w:szCs w:val="18"/>
      <w:lang w:val="en-IN" w:eastAsia="zh-CN" w:bidi="hi-IN"/>
    </w:rPr>
  </w:style>
  <w:style w:type="paragraph" w:styleId="Revision">
    <w:name w:val="Revision"/>
    <w:hidden/>
    <w:uiPriority w:val="99"/>
    <w:semiHidden/>
    <w:rsid w:val="008679A5"/>
    <w:pPr>
      <w:spacing w:after="0" w:line="240" w:lineRule="auto"/>
    </w:pPr>
    <w:rPr>
      <w:rFonts w:ascii="Liberation Serif" w:eastAsia="NSimSun" w:hAnsi="Liberation Serif" w:cs="Mangal"/>
      <w:kern w:val="3"/>
      <w:sz w:val="24"/>
      <w:szCs w:val="21"/>
      <w:lang w:val="en-IN" w:eastAsia="zh-CN" w:bidi="hi-IN"/>
    </w:rPr>
  </w:style>
  <w:style w:type="paragraph" w:styleId="BalloonText">
    <w:name w:val="Balloon Text"/>
    <w:basedOn w:val="Normal"/>
    <w:link w:val="BalloonTextChar"/>
    <w:uiPriority w:val="99"/>
    <w:semiHidden/>
    <w:unhideWhenUsed/>
    <w:rsid w:val="00B64440"/>
    <w:rPr>
      <w:rFonts w:ascii="Segoe UI" w:hAnsi="Segoe UI"/>
      <w:sz w:val="18"/>
      <w:szCs w:val="16"/>
    </w:rPr>
  </w:style>
  <w:style w:type="character" w:customStyle="1" w:styleId="BalloonTextChar">
    <w:name w:val="Balloon Text Char"/>
    <w:basedOn w:val="DefaultParagraphFont"/>
    <w:link w:val="BalloonText"/>
    <w:uiPriority w:val="99"/>
    <w:semiHidden/>
    <w:rsid w:val="00B64440"/>
    <w:rPr>
      <w:rFonts w:ascii="Segoe UI" w:eastAsia="NSimSun" w:hAnsi="Segoe UI" w:cs="Mangal"/>
      <w:kern w:val="3"/>
      <w:sz w:val="18"/>
      <w:szCs w:val="16"/>
      <w:lang w:val="en-IN" w:eastAsia="zh-CN" w:bidi="hi-IN"/>
    </w:rPr>
  </w:style>
  <w:style w:type="paragraph" w:styleId="FootnoteText">
    <w:name w:val="footnote text"/>
    <w:basedOn w:val="Normal"/>
    <w:link w:val="FootnoteTextChar"/>
    <w:uiPriority w:val="99"/>
    <w:semiHidden/>
    <w:unhideWhenUsed/>
    <w:rsid w:val="00D236BA"/>
    <w:rPr>
      <w:sz w:val="20"/>
      <w:szCs w:val="18"/>
    </w:rPr>
  </w:style>
  <w:style w:type="character" w:customStyle="1" w:styleId="FootnoteTextChar">
    <w:name w:val="Footnote Text Char"/>
    <w:basedOn w:val="DefaultParagraphFont"/>
    <w:link w:val="FootnoteText"/>
    <w:uiPriority w:val="99"/>
    <w:semiHidden/>
    <w:rsid w:val="00D236BA"/>
    <w:rPr>
      <w:rFonts w:ascii="Liberation Serif" w:eastAsia="NSimSun" w:hAnsi="Liberation Serif" w:cs="Mangal"/>
      <w:kern w:val="3"/>
      <w:sz w:val="20"/>
      <w:szCs w:val="18"/>
      <w:lang w:val="en-IN" w:eastAsia="zh-CN" w:bidi="hi-IN"/>
    </w:rPr>
  </w:style>
  <w:style w:type="character" w:styleId="FootnoteReference">
    <w:name w:val="footnote reference"/>
    <w:basedOn w:val="DefaultParagraphFont"/>
    <w:uiPriority w:val="99"/>
    <w:semiHidden/>
    <w:unhideWhenUsed/>
    <w:rsid w:val="00D236BA"/>
    <w:rPr>
      <w:vertAlign w:val="superscript"/>
    </w:rPr>
  </w:style>
  <w:style w:type="character" w:styleId="PlaceholderText">
    <w:name w:val="Placeholder Text"/>
    <w:basedOn w:val="DefaultParagraphFont"/>
    <w:uiPriority w:val="99"/>
    <w:semiHidden/>
    <w:rsid w:val="0070527C"/>
    <w:rPr>
      <w:color w:val="808080"/>
    </w:rPr>
  </w:style>
  <w:style w:type="table" w:styleId="TableGrid">
    <w:name w:val="Table Grid"/>
    <w:basedOn w:val="TableNormal"/>
    <w:uiPriority w:val="59"/>
    <w:rsid w:val="00F10FC9"/>
    <w:pPr>
      <w:spacing w:after="0" w:line="240" w:lineRule="auto"/>
    </w:pPr>
    <w:rPr>
      <w:rFonts w:eastAsiaTheme="minorEastAsia"/>
      <w:sz w:val="24"/>
      <w:szCs w:val="24"/>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autoRedefine/>
    <w:uiPriority w:val="37"/>
    <w:unhideWhenUsed/>
    <w:rsid w:val="00D82172"/>
    <w:pPr>
      <w:ind w:left="720" w:hanging="720"/>
    </w:pPr>
    <w:rPr>
      <w:rFonts w:ascii="Times New Roman" w:hAnsi="Times New Roman" w:cs="Times New Roman"/>
      <w:sz w:val="28"/>
      <w:szCs w:val="21"/>
    </w:rPr>
  </w:style>
  <w:style w:type="character" w:customStyle="1" w:styleId="Heading4Char">
    <w:name w:val="Heading 4 Char"/>
    <w:basedOn w:val="DefaultParagraphFont"/>
    <w:link w:val="Heading4"/>
    <w:uiPriority w:val="9"/>
    <w:rsid w:val="00E950E9"/>
    <w:rPr>
      <w:rFonts w:asciiTheme="majorHAnsi" w:eastAsiaTheme="majorEastAsia" w:hAnsiTheme="majorHAnsi" w:cs="Mangal"/>
      <w:i/>
      <w:iCs/>
      <w:color w:val="2F5496" w:themeColor="accent1" w:themeShade="BF"/>
      <w:kern w:val="3"/>
      <w:sz w:val="24"/>
      <w:szCs w:val="21"/>
      <w:lang w:val="en-IN" w:eastAsia="zh-CN" w:bidi="hi-IN"/>
    </w:rPr>
  </w:style>
  <w:style w:type="character" w:styleId="FollowedHyperlink">
    <w:name w:val="FollowedHyperlink"/>
    <w:basedOn w:val="DefaultParagraphFont"/>
    <w:uiPriority w:val="99"/>
    <w:semiHidden/>
    <w:unhideWhenUsed/>
    <w:rsid w:val="00BD5A6D"/>
    <w:rPr>
      <w:color w:val="954F72" w:themeColor="followedHyperlink"/>
      <w:u w:val="single"/>
    </w:rPr>
  </w:style>
  <w:style w:type="paragraph" w:styleId="NormalWeb">
    <w:name w:val="Normal (Web)"/>
    <w:basedOn w:val="Normal"/>
    <w:uiPriority w:val="99"/>
    <w:semiHidden/>
    <w:unhideWhenUsed/>
    <w:rsid w:val="00FD75F9"/>
    <w:pPr>
      <w:suppressAutoHyphens w:val="0"/>
      <w:autoSpaceDN/>
      <w:spacing w:before="100" w:beforeAutospacing="1"/>
      <w:ind w:firstLine="346"/>
      <w:jc w:val="both"/>
      <w:textAlignment w:val="auto"/>
    </w:pPr>
    <w:rPr>
      <w:rFonts w:ascii="Times New Roman" w:eastAsia="Times New Roman" w:hAnsi="Times New Roman" w:cs="Times New Roman"/>
      <w:color w:val="000000"/>
      <w:kern w:val="0"/>
      <w:lang w:eastAsia="en-US" w:bidi="ar-SA"/>
    </w:rPr>
  </w:style>
  <w:style w:type="character" w:customStyle="1" w:styleId="UnresolvedMention1">
    <w:name w:val="Unresolved Mention1"/>
    <w:basedOn w:val="DefaultParagraphFont"/>
    <w:uiPriority w:val="99"/>
    <w:semiHidden/>
    <w:unhideWhenUsed/>
    <w:rsid w:val="003C4311"/>
    <w:rPr>
      <w:color w:val="605E5C"/>
      <w:shd w:val="clear" w:color="auto" w:fill="E1DFDD"/>
    </w:rPr>
  </w:style>
  <w:style w:type="character" w:customStyle="1" w:styleId="UnresolvedMention10">
    <w:name w:val="Unresolved Mention1"/>
    <w:basedOn w:val="DefaultParagraphFont"/>
    <w:uiPriority w:val="99"/>
    <w:semiHidden/>
    <w:unhideWhenUsed/>
    <w:rsid w:val="00317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8732">
      <w:bodyDiv w:val="1"/>
      <w:marLeft w:val="0"/>
      <w:marRight w:val="0"/>
      <w:marTop w:val="0"/>
      <w:marBottom w:val="0"/>
      <w:divBdr>
        <w:top w:val="none" w:sz="0" w:space="0" w:color="auto"/>
        <w:left w:val="none" w:sz="0" w:space="0" w:color="auto"/>
        <w:bottom w:val="none" w:sz="0" w:space="0" w:color="auto"/>
        <w:right w:val="none" w:sz="0" w:space="0" w:color="auto"/>
      </w:divBdr>
    </w:div>
    <w:div w:id="294993020">
      <w:bodyDiv w:val="1"/>
      <w:marLeft w:val="0"/>
      <w:marRight w:val="0"/>
      <w:marTop w:val="0"/>
      <w:marBottom w:val="0"/>
      <w:divBdr>
        <w:top w:val="none" w:sz="0" w:space="0" w:color="auto"/>
        <w:left w:val="none" w:sz="0" w:space="0" w:color="auto"/>
        <w:bottom w:val="none" w:sz="0" w:space="0" w:color="auto"/>
        <w:right w:val="none" w:sz="0" w:space="0" w:color="auto"/>
      </w:divBdr>
    </w:div>
    <w:div w:id="363798499">
      <w:bodyDiv w:val="1"/>
      <w:marLeft w:val="0"/>
      <w:marRight w:val="0"/>
      <w:marTop w:val="0"/>
      <w:marBottom w:val="0"/>
      <w:divBdr>
        <w:top w:val="none" w:sz="0" w:space="0" w:color="auto"/>
        <w:left w:val="none" w:sz="0" w:space="0" w:color="auto"/>
        <w:bottom w:val="none" w:sz="0" w:space="0" w:color="auto"/>
        <w:right w:val="none" w:sz="0" w:space="0" w:color="auto"/>
      </w:divBdr>
    </w:div>
    <w:div w:id="400715364">
      <w:bodyDiv w:val="1"/>
      <w:marLeft w:val="0"/>
      <w:marRight w:val="0"/>
      <w:marTop w:val="0"/>
      <w:marBottom w:val="0"/>
      <w:divBdr>
        <w:top w:val="none" w:sz="0" w:space="0" w:color="auto"/>
        <w:left w:val="none" w:sz="0" w:space="0" w:color="auto"/>
        <w:bottom w:val="none" w:sz="0" w:space="0" w:color="auto"/>
        <w:right w:val="none" w:sz="0" w:space="0" w:color="auto"/>
      </w:divBdr>
    </w:div>
    <w:div w:id="490606104">
      <w:bodyDiv w:val="1"/>
      <w:marLeft w:val="0"/>
      <w:marRight w:val="0"/>
      <w:marTop w:val="0"/>
      <w:marBottom w:val="0"/>
      <w:divBdr>
        <w:top w:val="none" w:sz="0" w:space="0" w:color="auto"/>
        <w:left w:val="none" w:sz="0" w:space="0" w:color="auto"/>
        <w:bottom w:val="none" w:sz="0" w:space="0" w:color="auto"/>
        <w:right w:val="none" w:sz="0" w:space="0" w:color="auto"/>
      </w:divBdr>
    </w:div>
    <w:div w:id="538972381">
      <w:bodyDiv w:val="1"/>
      <w:marLeft w:val="0"/>
      <w:marRight w:val="0"/>
      <w:marTop w:val="0"/>
      <w:marBottom w:val="0"/>
      <w:divBdr>
        <w:top w:val="none" w:sz="0" w:space="0" w:color="auto"/>
        <w:left w:val="none" w:sz="0" w:space="0" w:color="auto"/>
        <w:bottom w:val="none" w:sz="0" w:space="0" w:color="auto"/>
        <w:right w:val="none" w:sz="0" w:space="0" w:color="auto"/>
      </w:divBdr>
    </w:div>
    <w:div w:id="562107904">
      <w:bodyDiv w:val="1"/>
      <w:marLeft w:val="0"/>
      <w:marRight w:val="0"/>
      <w:marTop w:val="0"/>
      <w:marBottom w:val="0"/>
      <w:divBdr>
        <w:top w:val="none" w:sz="0" w:space="0" w:color="auto"/>
        <w:left w:val="none" w:sz="0" w:space="0" w:color="auto"/>
        <w:bottom w:val="none" w:sz="0" w:space="0" w:color="auto"/>
        <w:right w:val="none" w:sz="0" w:space="0" w:color="auto"/>
      </w:divBdr>
    </w:div>
    <w:div w:id="637417247">
      <w:bodyDiv w:val="1"/>
      <w:marLeft w:val="0"/>
      <w:marRight w:val="0"/>
      <w:marTop w:val="0"/>
      <w:marBottom w:val="0"/>
      <w:divBdr>
        <w:top w:val="none" w:sz="0" w:space="0" w:color="auto"/>
        <w:left w:val="none" w:sz="0" w:space="0" w:color="auto"/>
        <w:bottom w:val="none" w:sz="0" w:space="0" w:color="auto"/>
        <w:right w:val="none" w:sz="0" w:space="0" w:color="auto"/>
      </w:divBdr>
    </w:div>
    <w:div w:id="689524057">
      <w:bodyDiv w:val="1"/>
      <w:marLeft w:val="0"/>
      <w:marRight w:val="0"/>
      <w:marTop w:val="0"/>
      <w:marBottom w:val="0"/>
      <w:divBdr>
        <w:top w:val="none" w:sz="0" w:space="0" w:color="auto"/>
        <w:left w:val="none" w:sz="0" w:space="0" w:color="auto"/>
        <w:bottom w:val="none" w:sz="0" w:space="0" w:color="auto"/>
        <w:right w:val="none" w:sz="0" w:space="0" w:color="auto"/>
      </w:divBdr>
    </w:div>
    <w:div w:id="780997179">
      <w:bodyDiv w:val="1"/>
      <w:marLeft w:val="0"/>
      <w:marRight w:val="0"/>
      <w:marTop w:val="0"/>
      <w:marBottom w:val="0"/>
      <w:divBdr>
        <w:top w:val="none" w:sz="0" w:space="0" w:color="auto"/>
        <w:left w:val="none" w:sz="0" w:space="0" w:color="auto"/>
        <w:bottom w:val="none" w:sz="0" w:space="0" w:color="auto"/>
        <w:right w:val="none" w:sz="0" w:space="0" w:color="auto"/>
      </w:divBdr>
    </w:div>
    <w:div w:id="797801376">
      <w:bodyDiv w:val="1"/>
      <w:marLeft w:val="0"/>
      <w:marRight w:val="0"/>
      <w:marTop w:val="0"/>
      <w:marBottom w:val="0"/>
      <w:divBdr>
        <w:top w:val="none" w:sz="0" w:space="0" w:color="auto"/>
        <w:left w:val="none" w:sz="0" w:space="0" w:color="auto"/>
        <w:bottom w:val="none" w:sz="0" w:space="0" w:color="auto"/>
        <w:right w:val="none" w:sz="0" w:space="0" w:color="auto"/>
      </w:divBdr>
    </w:div>
    <w:div w:id="831678119">
      <w:bodyDiv w:val="1"/>
      <w:marLeft w:val="0"/>
      <w:marRight w:val="0"/>
      <w:marTop w:val="0"/>
      <w:marBottom w:val="0"/>
      <w:divBdr>
        <w:top w:val="none" w:sz="0" w:space="0" w:color="auto"/>
        <w:left w:val="none" w:sz="0" w:space="0" w:color="auto"/>
        <w:bottom w:val="none" w:sz="0" w:space="0" w:color="auto"/>
        <w:right w:val="none" w:sz="0" w:space="0" w:color="auto"/>
      </w:divBdr>
    </w:div>
    <w:div w:id="901256923">
      <w:bodyDiv w:val="1"/>
      <w:marLeft w:val="0"/>
      <w:marRight w:val="0"/>
      <w:marTop w:val="0"/>
      <w:marBottom w:val="0"/>
      <w:divBdr>
        <w:top w:val="none" w:sz="0" w:space="0" w:color="auto"/>
        <w:left w:val="none" w:sz="0" w:space="0" w:color="auto"/>
        <w:bottom w:val="none" w:sz="0" w:space="0" w:color="auto"/>
        <w:right w:val="none" w:sz="0" w:space="0" w:color="auto"/>
      </w:divBdr>
    </w:div>
    <w:div w:id="951400007">
      <w:bodyDiv w:val="1"/>
      <w:marLeft w:val="0"/>
      <w:marRight w:val="0"/>
      <w:marTop w:val="0"/>
      <w:marBottom w:val="0"/>
      <w:divBdr>
        <w:top w:val="none" w:sz="0" w:space="0" w:color="auto"/>
        <w:left w:val="none" w:sz="0" w:space="0" w:color="auto"/>
        <w:bottom w:val="none" w:sz="0" w:space="0" w:color="auto"/>
        <w:right w:val="none" w:sz="0" w:space="0" w:color="auto"/>
      </w:divBdr>
    </w:div>
    <w:div w:id="998970266">
      <w:bodyDiv w:val="1"/>
      <w:marLeft w:val="0"/>
      <w:marRight w:val="0"/>
      <w:marTop w:val="0"/>
      <w:marBottom w:val="0"/>
      <w:divBdr>
        <w:top w:val="none" w:sz="0" w:space="0" w:color="auto"/>
        <w:left w:val="none" w:sz="0" w:space="0" w:color="auto"/>
        <w:bottom w:val="none" w:sz="0" w:space="0" w:color="auto"/>
        <w:right w:val="none" w:sz="0" w:space="0" w:color="auto"/>
      </w:divBdr>
    </w:div>
    <w:div w:id="1312639773">
      <w:bodyDiv w:val="1"/>
      <w:marLeft w:val="0"/>
      <w:marRight w:val="0"/>
      <w:marTop w:val="0"/>
      <w:marBottom w:val="0"/>
      <w:divBdr>
        <w:top w:val="none" w:sz="0" w:space="0" w:color="auto"/>
        <w:left w:val="none" w:sz="0" w:space="0" w:color="auto"/>
        <w:bottom w:val="none" w:sz="0" w:space="0" w:color="auto"/>
        <w:right w:val="none" w:sz="0" w:space="0" w:color="auto"/>
      </w:divBdr>
    </w:div>
    <w:div w:id="1328484972">
      <w:bodyDiv w:val="1"/>
      <w:marLeft w:val="0"/>
      <w:marRight w:val="0"/>
      <w:marTop w:val="0"/>
      <w:marBottom w:val="0"/>
      <w:divBdr>
        <w:top w:val="none" w:sz="0" w:space="0" w:color="auto"/>
        <w:left w:val="none" w:sz="0" w:space="0" w:color="auto"/>
        <w:bottom w:val="none" w:sz="0" w:space="0" w:color="auto"/>
        <w:right w:val="none" w:sz="0" w:space="0" w:color="auto"/>
      </w:divBdr>
    </w:div>
    <w:div w:id="1346175550">
      <w:bodyDiv w:val="1"/>
      <w:marLeft w:val="0"/>
      <w:marRight w:val="0"/>
      <w:marTop w:val="0"/>
      <w:marBottom w:val="0"/>
      <w:divBdr>
        <w:top w:val="none" w:sz="0" w:space="0" w:color="auto"/>
        <w:left w:val="none" w:sz="0" w:space="0" w:color="auto"/>
        <w:bottom w:val="none" w:sz="0" w:space="0" w:color="auto"/>
        <w:right w:val="none" w:sz="0" w:space="0" w:color="auto"/>
      </w:divBdr>
    </w:div>
    <w:div w:id="1363049119">
      <w:bodyDiv w:val="1"/>
      <w:marLeft w:val="0"/>
      <w:marRight w:val="0"/>
      <w:marTop w:val="0"/>
      <w:marBottom w:val="0"/>
      <w:divBdr>
        <w:top w:val="none" w:sz="0" w:space="0" w:color="auto"/>
        <w:left w:val="none" w:sz="0" w:space="0" w:color="auto"/>
        <w:bottom w:val="none" w:sz="0" w:space="0" w:color="auto"/>
        <w:right w:val="none" w:sz="0" w:space="0" w:color="auto"/>
      </w:divBdr>
    </w:div>
    <w:div w:id="1386761688">
      <w:bodyDiv w:val="1"/>
      <w:marLeft w:val="0"/>
      <w:marRight w:val="0"/>
      <w:marTop w:val="0"/>
      <w:marBottom w:val="0"/>
      <w:divBdr>
        <w:top w:val="none" w:sz="0" w:space="0" w:color="auto"/>
        <w:left w:val="none" w:sz="0" w:space="0" w:color="auto"/>
        <w:bottom w:val="none" w:sz="0" w:space="0" w:color="auto"/>
        <w:right w:val="none" w:sz="0" w:space="0" w:color="auto"/>
      </w:divBdr>
    </w:div>
    <w:div w:id="1395274967">
      <w:bodyDiv w:val="1"/>
      <w:marLeft w:val="0"/>
      <w:marRight w:val="0"/>
      <w:marTop w:val="0"/>
      <w:marBottom w:val="0"/>
      <w:divBdr>
        <w:top w:val="none" w:sz="0" w:space="0" w:color="auto"/>
        <w:left w:val="none" w:sz="0" w:space="0" w:color="auto"/>
        <w:bottom w:val="none" w:sz="0" w:space="0" w:color="auto"/>
        <w:right w:val="none" w:sz="0" w:space="0" w:color="auto"/>
      </w:divBdr>
    </w:div>
    <w:div w:id="1462067645">
      <w:bodyDiv w:val="1"/>
      <w:marLeft w:val="0"/>
      <w:marRight w:val="0"/>
      <w:marTop w:val="0"/>
      <w:marBottom w:val="0"/>
      <w:divBdr>
        <w:top w:val="none" w:sz="0" w:space="0" w:color="auto"/>
        <w:left w:val="none" w:sz="0" w:space="0" w:color="auto"/>
        <w:bottom w:val="none" w:sz="0" w:space="0" w:color="auto"/>
        <w:right w:val="none" w:sz="0" w:space="0" w:color="auto"/>
      </w:divBdr>
    </w:div>
    <w:div w:id="1523013855">
      <w:bodyDiv w:val="1"/>
      <w:marLeft w:val="0"/>
      <w:marRight w:val="0"/>
      <w:marTop w:val="0"/>
      <w:marBottom w:val="0"/>
      <w:divBdr>
        <w:top w:val="none" w:sz="0" w:space="0" w:color="auto"/>
        <w:left w:val="none" w:sz="0" w:space="0" w:color="auto"/>
        <w:bottom w:val="none" w:sz="0" w:space="0" w:color="auto"/>
        <w:right w:val="none" w:sz="0" w:space="0" w:color="auto"/>
      </w:divBdr>
    </w:div>
    <w:div w:id="1621061874">
      <w:bodyDiv w:val="1"/>
      <w:marLeft w:val="0"/>
      <w:marRight w:val="0"/>
      <w:marTop w:val="0"/>
      <w:marBottom w:val="0"/>
      <w:divBdr>
        <w:top w:val="none" w:sz="0" w:space="0" w:color="auto"/>
        <w:left w:val="none" w:sz="0" w:space="0" w:color="auto"/>
        <w:bottom w:val="none" w:sz="0" w:space="0" w:color="auto"/>
        <w:right w:val="none" w:sz="0" w:space="0" w:color="auto"/>
      </w:divBdr>
    </w:div>
    <w:div w:id="1681614147">
      <w:bodyDiv w:val="1"/>
      <w:marLeft w:val="0"/>
      <w:marRight w:val="0"/>
      <w:marTop w:val="0"/>
      <w:marBottom w:val="0"/>
      <w:divBdr>
        <w:top w:val="none" w:sz="0" w:space="0" w:color="auto"/>
        <w:left w:val="none" w:sz="0" w:space="0" w:color="auto"/>
        <w:bottom w:val="none" w:sz="0" w:space="0" w:color="auto"/>
        <w:right w:val="none" w:sz="0" w:space="0" w:color="auto"/>
      </w:divBdr>
    </w:div>
    <w:div w:id="1789928334">
      <w:bodyDiv w:val="1"/>
      <w:marLeft w:val="0"/>
      <w:marRight w:val="0"/>
      <w:marTop w:val="0"/>
      <w:marBottom w:val="0"/>
      <w:divBdr>
        <w:top w:val="none" w:sz="0" w:space="0" w:color="auto"/>
        <w:left w:val="none" w:sz="0" w:space="0" w:color="auto"/>
        <w:bottom w:val="none" w:sz="0" w:space="0" w:color="auto"/>
        <w:right w:val="none" w:sz="0" w:space="0" w:color="auto"/>
      </w:divBdr>
    </w:div>
    <w:div w:id="1827741621">
      <w:bodyDiv w:val="1"/>
      <w:marLeft w:val="0"/>
      <w:marRight w:val="0"/>
      <w:marTop w:val="0"/>
      <w:marBottom w:val="0"/>
      <w:divBdr>
        <w:top w:val="none" w:sz="0" w:space="0" w:color="auto"/>
        <w:left w:val="none" w:sz="0" w:space="0" w:color="auto"/>
        <w:bottom w:val="none" w:sz="0" w:space="0" w:color="auto"/>
        <w:right w:val="none" w:sz="0" w:space="0" w:color="auto"/>
      </w:divBdr>
    </w:div>
    <w:div w:id="1832796933">
      <w:bodyDiv w:val="1"/>
      <w:marLeft w:val="0"/>
      <w:marRight w:val="0"/>
      <w:marTop w:val="0"/>
      <w:marBottom w:val="0"/>
      <w:divBdr>
        <w:top w:val="none" w:sz="0" w:space="0" w:color="auto"/>
        <w:left w:val="none" w:sz="0" w:space="0" w:color="auto"/>
        <w:bottom w:val="none" w:sz="0" w:space="0" w:color="auto"/>
        <w:right w:val="none" w:sz="0" w:space="0" w:color="auto"/>
      </w:divBdr>
    </w:div>
    <w:div w:id="1908302246">
      <w:bodyDiv w:val="1"/>
      <w:marLeft w:val="0"/>
      <w:marRight w:val="0"/>
      <w:marTop w:val="0"/>
      <w:marBottom w:val="0"/>
      <w:divBdr>
        <w:top w:val="none" w:sz="0" w:space="0" w:color="auto"/>
        <w:left w:val="none" w:sz="0" w:space="0" w:color="auto"/>
        <w:bottom w:val="none" w:sz="0" w:space="0" w:color="auto"/>
        <w:right w:val="none" w:sz="0" w:space="0" w:color="auto"/>
      </w:divBdr>
    </w:div>
    <w:div w:id="1938177219">
      <w:bodyDiv w:val="1"/>
      <w:marLeft w:val="0"/>
      <w:marRight w:val="0"/>
      <w:marTop w:val="0"/>
      <w:marBottom w:val="0"/>
      <w:divBdr>
        <w:top w:val="none" w:sz="0" w:space="0" w:color="auto"/>
        <w:left w:val="none" w:sz="0" w:space="0" w:color="auto"/>
        <w:bottom w:val="none" w:sz="0" w:space="0" w:color="auto"/>
        <w:right w:val="none" w:sz="0" w:space="0" w:color="auto"/>
      </w:divBdr>
    </w:div>
    <w:div w:id="2004048589">
      <w:bodyDiv w:val="1"/>
      <w:marLeft w:val="0"/>
      <w:marRight w:val="0"/>
      <w:marTop w:val="0"/>
      <w:marBottom w:val="0"/>
      <w:divBdr>
        <w:top w:val="none" w:sz="0" w:space="0" w:color="auto"/>
        <w:left w:val="none" w:sz="0" w:space="0" w:color="auto"/>
        <w:bottom w:val="none" w:sz="0" w:space="0" w:color="auto"/>
        <w:right w:val="none" w:sz="0" w:space="0" w:color="auto"/>
      </w:divBdr>
    </w:div>
    <w:div w:id="2011788057">
      <w:bodyDiv w:val="1"/>
      <w:marLeft w:val="0"/>
      <w:marRight w:val="0"/>
      <w:marTop w:val="0"/>
      <w:marBottom w:val="0"/>
      <w:divBdr>
        <w:top w:val="none" w:sz="0" w:space="0" w:color="auto"/>
        <w:left w:val="none" w:sz="0" w:space="0" w:color="auto"/>
        <w:bottom w:val="none" w:sz="0" w:space="0" w:color="auto"/>
        <w:right w:val="none" w:sz="0" w:space="0" w:color="auto"/>
      </w:divBdr>
    </w:div>
    <w:div w:id="2045976334">
      <w:bodyDiv w:val="1"/>
      <w:marLeft w:val="0"/>
      <w:marRight w:val="0"/>
      <w:marTop w:val="0"/>
      <w:marBottom w:val="0"/>
      <w:divBdr>
        <w:top w:val="none" w:sz="0" w:space="0" w:color="auto"/>
        <w:left w:val="none" w:sz="0" w:space="0" w:color="auto"/>
        <w:bottom w:val="none" w:sz="0" w:space="0" w:color="auto"/>
        <w:right w:val="none" w:sz="0" w:space="0" w:color="auto"/>
      </w:divBdr>
    </w:div>
    <w:div w:id="2134908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microsoft.com/office/2020/10/relationships/intelligence" Target="intelligence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92E5C-3B2A-44AC-9080-7C8F64BD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4632</TotalTime>
  <Pages>91</Pages>
  <Words>57964</Words>
  <Characters>330401</Characters>
  <Application>Microsoft Office Word</Application>
  <DocSecurity>0</DocSecurity>
  <Lines>2753</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Twohey, Logan</dc:creator>
  <cp:keywords/>
  <dc:description/>
  <cp:lastModifiedBy>Twohey, Logan</cp:lastModifiedBy>
  <cp:revision>116</cp:revision>
  <cp:lastPrinted>2022-07-19T15:51:00Z</cp:lastPrinted>
  <dcterms:created xsi:type="dcterms:W3CDTF">2022-07-19T15:24:00Z</dcterms:created>
  <dcterms:modified xsi:type="dcterms:W3CDTF">2022-07-25T14:15:00Z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a&gt;</vt:lpwstr>
  </property>
  <property fmtid="{D5CDD505-2E9C-101B-9397-08002B2CF9AE}" pid="3" name="ZOTERO_PREF_1">
    <vt:lpwstr>&lt;data data-version="3" zotero-version="6.0.10"&gt;&lt;session id="qb1PYQdI"/&gt;&lt;style id="http://www.zotero.org/styles/american-meteorological-society" hasBibliography="1" bibliographyStyleHasBeenSet="1"/&gt;&lt;prefs&gt;&lt;pref name="fieldType" value="Field"/&gt;&lt;/prefs&gt;&lt;/dat</vt:lpwstr>
  </property>
</Properties>
</file>